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022B2F" w14:textId="6DFFADC6" w:rsidR="00C4131E" w:rsidRPr="004F223B" w:rsidRDefault="00432208" w:rsidP="00C4131E">
      <w:pPr>
        <w:jc w:val="center"/>
      </w:pPr>
      <w:r w:rsidRPr="004F223B">
        <w:rPr>
          <w:b/>
          <w:bCs/>
          <w:i/>
          <w:iCs/>
          <w:color w:val="000000"/>
          <w:u w:val="single"/>
        </w:rPr>
        <w:t xml:space="preserve">EX PARTE </w:t>
      </w:r>
      <w:r w:rsidR="00C4131E" w:rsidRPr="004F223B">
        <w:rPr>
          <w:b/>
          <w:bCs/>
          <w:color w:val="000000"/>
          <w:u w:val="single"/>
        </w:rPr>
        <w:t xml:space="preserve">BRIEF IN SUPPORT OF MOTION FOR FUNDING </w:t>
      </w:r>
      <w:r w:rsidR="00721A41">
        <w:rPr>
          <w:b/>
          <w:bCs/>
          <w:color w:val="000000"/>
          <w:u w:val="single"/>
        </w:rPr>
        <w:t>FOR AN</w:t>
      </w:r>
      <w:r w:rsidR="00721A41" w:rsidRPr="004F223B">
        <w:rPr>
          <w:b/>
          <w:bCs/>
          <w:color w:val="000000"/>
          <w:u w:val="single"/>
        </w:rPr>
        <w:t xml:space="preserve"> </w:t>
      </w:r>
      <w:r w:rsidRPr="004F223B">
        <w:rPr>
          <w:b/>
          <w:bCs/>
          <w:color w:val="000000"/>
          <w:u w:val="single"/>
        </w:rPr>
        <w:t>EXPERT WITNESS IN</w:t>
      </w:r>
      <w:r w:rsidR="00C4131E" w:rsidRPr="004F223B">
        <w:rPr>
          <w:b/>
          <w:bCs/>
          <w:color w:val="000000"/>
          <w:u w:val="single"/>
        </w:rPr>
        <w:t xml:space="preserve"> </w:t>
      </w:r>
      <w:r w:rsidR="001C4DF3" w:rsidRPr="004F223B">
        <w:rPr>
          <w:b/>
          <w:bCs/>
          <w:color w:val="000000"/>
          <w:u w:val="single"/>
        </w:rPr>
        <w:t>JUVENILE BRAIN DEVELOPMENT</w:t>
      </w:r>
    </w:p>
    <w:p w14:paraId="77DA344D" w14:textId="77777777" w:rsidR="00C4131E" w:rsidRPr="004F223B" w:rsidRDefault="00C4131E" w:rsidP="00C4131E">
      <w:pPr>
        <w:jc w:val="center"/>
      </w:pPr>
    </w:p>
    <w:p w14:paraId="2807E0EF" w14:textId="77777777" w:rsidR="00C4131E" w:rsidRDefault="00C4131E" w:rsidP="00C4131E">
      <w:pPr>
        <w:pStyle w:val="ListParagraph"/>
        <w:numPr>
          <w:ilvl w:val="0"/>
          <w:numId w:val="33"/>
        </w:numPr>
        <w:rPr>
          <w:b/>
          <w:bCs/>
        </w:rPr>
      </w:pPr>
      <w:r w:rsidRPr="004F223B">
        <w:rPr>
          <w:b/>
          <w:bCs/>
        </w:rPr>
        <w:t>Introduction</w:t>
      </w:r>
    </w:p>
    <w:p w14:paraId="059EF7B5" w14:textId="77777777" w:rsidR="003858BA" w:rsidRPr="004F223B" w:rsidRDefault="003858BA" w:rsidP="003858BA">
      <w:pPr>
        <w:textAlignment w:val="baseline"/>
        <w:rPr>
          <w:color w:val="000000"/>
        </w:rPr>
      </w:pPr>
    </w:p>
    <w:p w14:paraId="4C2EBDE7" w14:textId="052B225A" w:rsidR="00111EF2" w:rsidRPr="004F223B" w:rsidRDefault="00C4131E" w:rsidP="00E627E5">
      <w:pPr>
        <w:spacing w:line="480" w:lineRule="auto"/>
        <w:ind w:firstLine="720"/>
        <w:jc w:val="both"/>
        <w:textAlignment w:val="baseline"/>
        <w:rPr>
          <w:color w:val="000000"/>
        </w:rPr>
      </w:pPr>
      <w:r w:rsidRPr="004F223B">
        <w:rPr>
          <w:color w:val="000000"/>
        </w:rPr>
        <w:t>[</w:t>
      </w:r>
      <w:r w:rsidRPr="006500A6">
        <w:rPr>
          <w:color w:val="000000"/>
          <w:highlight w:val="yellow"/>
        </w:rPr>
        <w:t>Client</w:t>
      </w:r>
      <w:r w:rsidRPr="004F223B">
        <w:rPr>
          <w:color w:val="000000"/>
        </w:rPr>
        <w:t>], a [</w:t>
      </w:r>
      <w:r w:rsidRPr="004F223B">
        <w:rPr>
          <w:color w:val="000000"/>
          <w:shd w:val="clear" w:color="auto" w:fill="FFFF00"/>
        </w:rPr>
        <w:t>x-year-old</w:t>
      </w:r>
      <w:r w:rsidRPr="004F223B">
        <w:rPr>
          <w:color w:val="000000"/>
        </w:rPr>
        <w:t>] juvenile, is charged with felony murder for [</w:t>
      </w:r>
      <w:r w:rsidRPr="004F223B">
        <w:rPr>
          <w:color w:val="000000"/>
          <w:shd w:val="clear" w:color="auto" w:fill="FFFF00"/>
        </w:rPr>
        <w:t>his/her/their</w:t>
      </w:r>
      <w:r w:rsidRPr="004F223B">
        <w:rPr>
          <w:color w:val="000000"/>
        </w:rPr>
        <w:t>] participation in [</w:t>
      </w:r>
      <w:r w:rsidRPr="004F223B">
        <w:rPr>
          <w:color w:val="000000"/>
          <w:shd w:val="clear" w:color="auto" w:fill="FFFF00"/>
        </w:rPr>
        <w:t>felony</w:t>
      </w:r>
      <w:r w:rsidRPr="004F223B">
        <w:rPr>
          <w:color w:val="000000"/>
        </w:rPr>
        <w:t>]. </w:t>
      </w:r>
      <w:r w:rsidR="004E790B" w:rsidRPr="004F223B">
        <w:rPr>
          <w:color w:val="000000"/>
        </w:rPr>
        <w:t xml:space="preserve">In </w:t>
      </w:r>
      <w:r w:rsidRPr="004F223B">
        <w:rPr>
          <w:color w:val="000000"/>
        </w:rPr>
        <w:t>New York, felony murder requires that the death occur “in furtherance of” the underlying felony offense.</w:t>
      </w:r>
      <w:r w:rsidRPr="004F223B">
        <w:rPr>
          <w:i/>
          <w:iCs/>
          <w:color w:val="000000"/>
        </w:rPr>
        <w:t xml:space="preserve"> </w:t>
      </w:r>
      <w:hyperlink r:id="rId8" w:history="1">
        <w:r w:rsidR="0000092C" w:rsidRPr="004F223B">
          <w:rPr>
            <w:color w:val="1155CC"/>
            <w:u w:val="single"/>
          </w:rPr>
          <w:t>N.Y. Penal Law § 125.25(3)</w:t>
        </w:r>
      </w:hyperlink>
      <w:r w:rsidRPr="004F223B">
        <w:rPr>
          <w:color w:val="000000"/>
        </w:rPr>
        <w:t xml:space="preserve">. </w:t>
      </w:r>
      <w:r w:rsidR="002F01C1" w:rsidRPr="004F223B">
        <w:rPr>
          <w:color w:val="000000"/>
        </w:rPr>
        <w:t>Foreseeability plays a key role in determining</w:t>
      </w:r>
      <w:r w:rsidRPr="004F223B">
        <w:rPr>
          <w:color w:val="000000"/>
        </w:rPr>
        <w:t xml:space="preserve"> whether a death occurred "in furtherance of" a felony. </w:t>
      </w:r>
      <w:r w:rsidRPr="004F223B">
        <w:rPr>
          <w:i/>
          <w:iCs/>
          <w:color w:val="000000"/>
        </w:rPr>
        <w:t>See</w:t>
      </w:r>
      <w:r w:rsidR="002F01C1" w:rsidRPr="004F223B">
        <w:rPr>
          <w:i/>
          <w:iCs/>
          <w:color w:val="000000"/>
        </w:rPr>
        <w:t>, e.g.,</w:t>
      </w:r>
      <w:r w:rsidRPr="004F223B">
        <w:rPr>
          <w:i/>
          <w:iCs/>
          <w:color w:val="000000"/>
        </w:rPr>
        <w:t xml:space="preserve"> Santana v. Kuhlmann, </w:t>
      </w:r>
      <w:r w:rsidRPr="004F223B">
        <w:rPr>
          <w:color w:val="000000"/>
        </w:rPr>
        <w:t xml:space="preserve">232 F. Supp. 2d 154, 169 (S.D.N.Y. 2002) (explaining that the victim's death must be a “foreseeable result” of the accused’s actions); </w:t>
      </w:r>
      <w:r w:rsidRPr="004F223B">
        <w:rPr>
          <w:i/>
          <w:iCs/>
          <w:color w:val="000000"/>
        </w:rPr>
        <w:t>see also People v. Davis</w:t>
      </w:r>
      <w:r w:rsidRPr="004F223B">
        <w:rPr>
          <w:color w:val="000000"/>
        </w:rPr>
        <w:t xml:space="preserve">, 28 N.Y.3d 294, 296-97 (2016) (requiring the state to show </w:t>
      </w:r>
      <w:r w:rsidR="002F01C1" w:rsidRPr="004F223B">
        <w:rPr>
          <w:color w:val="000000"/>
        </w:rPr>
        <w:t xml:space="preserve">that the </w:t>
      </w:r>
      <w:r w:rsidRPr="004F223B">
        <w:rPr>
          <w:color w:val="000000"/>
        </w:rPr>
        <w:t xml:space="preserve">“actual contributory cause of the victim's death and that the victim's death, induced by the stress of the violent event, was a </w:t>
      </w:r>
      <w:r w:rsidRPr="004F223B">
        <w:rPr>
          <w:i/>
          <w:iCs/>
          <w:color w:val="000000"/>
        </w:rPr>
        <w:t>reasonably foreseeable result</w:t>
      </w:r>
      <w:r w:rsidRPr="004F223B">
        <w:rPr>
          <w:color w:val="000000"/>
        </w:rPr>
        <w:t xml:space="preserve"> of defendant's conduct”) (emphasis added). Social science on adolescent development demonstrates that juveniles</w:t>
      </w:r>
      <w:r w:rsidR="00994182" w:rsidRPr="004F223B">
        <w:rPr>
          <w:color w:val="000000"/>
        </w:rPr>
        <w:t xml:space="preserve"> </w:t>
      </w:r>
      <w:r w:rsidRPr="004F223B">
        <w:rPr>
          <w:color w:val="000000"/>
        </w:rPr>
        <w:t xml:space="preserve">are less able to perceive and assess risks, less capable decision-makers, and have greater difficulty </w:t>
      </w:r>
      <w:r w:rsidR="004E790B" w:rsidRPr="004F223B">
        <w:rPr>
          <w:color w:val="000000"/>
        </w:rPr>
        <w:t>anticipating</w:t>
      </w:r>
      <w:r w:rsidRPr="004F223B">
        <w:rPr>
          <w:color w:val="000000"/>
        </w:rPr>
        <w:t xml:space="preserve"> consequences than adults</w:t>
      </w:r>
      <w:r w:rsidR="00994182" w:rsidRPr="004F223B">
        <w:rPr>
          <w:iCs/>
          <w:color w:val="000000"/>
        </w:rPr>
        <w:t>.</w:t>
      </w:r>
      <w:r w:rsidR="00721A41">
        <w:rPr>
          <w:iCs/>
          <w:color w:val="000000"/>
        </w:rPr>
        <w:t xml:space="preserve"> </w:t>
      </w:r>
      <w:r w:rsidR="0033421E">
        <w:rPr>
          <w:i/>
          <w:color w:val="000000"/>
        </w:rPr>
        <w:t xml:space="preserve">See, e.g., </w:t>
      </w:r>
      <w:r w:rsidR="0033421E" w:rsidRPr="00205F47">
        <w:rPr>
          <w:color w:val="000000"/>
        </w:rPr>
        <w:t>Daniel</w:t>
      </w:r>
      <w:r w:rsidR="0033421E">
        <w:rPr>
          <w:color w:val="000000"/>
        </w:rPr>
        <w:t xml:space="preserve"> P. Keating, </w:t>
      </w:r>
      <w:hyperlink r:id="rId9" w:history="1">
        <w:r w:rsidR="0033421E" w:rsidRPr="005770E0">
          <w:rPr>
            <w:rStyle w:val="Hyperlink"/>
            <w:i/>
            <w:iCs/>
          </w:rPr>
          <w:t>Summary of Adolescent Development and Neurodevelopmental Science in re Juvenile Life Without Parole</w:t>
        </w:r>
      </w:hyperlink>
      <w:r w:rsidR="0033421E">
        <w:rPr>
          <w:color w:val="000000"/>
        </w:rPr>
        <w:t xml:space="preserve"> 9 (June 2025)</w:t>
      </w:r>
      <w:r w:rsidR="00721A41">
        <w:rPr>
          <w:iCs/>
          <w:color w:val="000000"/>
        </w:rPr>
        <w:t>.</w:t>
      </w:r>
      <w:r w:rsidR="00994182" w:rsidRPr="004F223B">
        <w:rPr>
          <w:iCs/>
          <w:color w:val="000000"/>
        </w:rPr>
        <w:t xml:space="preserve"> </w:t>
      </w:r>
      <w:r w:rsidR="00994182" w:rsidRPr="004F223B">
        <w:rPr>
          <w:color w:val="000000"/>
        </w:rPr>
        <w:t>Together, these attributes render juveniles, like [</w:t>
      </w:r>
      <w:r w:rsidR="00E138A4">
        <w:rPr>
          <w:color w:val="000000"/>
          <w:highlight w:val="yellow"/>
        </w:rPr>
        <w:t>C</w:t>
      </w:r>
      <w:r w:rsidR="00E138A4" w:rsidRPr="004F223B">
        <w:rPr>
          <w:color w:val="000000"/>
          <w:highlight w:val="yellow"/>
        </w:rPr>
        <w:t>lient</w:t>
      </w:r>
      <w:r w:rsidR="00994182" w:rsidRPr="004F223B">
        <w:rPr>
          <w:color w:val="000000"/>
        </w:rPr>
        <w:t>], less capable of foreseeing a death as resulting “in furtherance of</w:t>
      </w:r>
      <w:r w:rsidR="00E138A4" w:rsidRPr="004F223B">
        <w:rPr>
          <w:color w:val="000000"/>
        </w:rPr>
        <w:t>”</w:t>
      </w:r>
      <w:r w:rsidR="00994182" w:rsidRPr="004F223B">
        <w:rPr>
          <w:color w:val="000000"/>
        </w:rPr>
        <w:t xml:space="preserve"> their participation in an underlying felony. </w:t>
      </w:r>
      <w:r w:rsidR="004E790B" w:rsidRPr="004F223B">
        <w:rPr>
          <w:color w:val="000000" w:themeColor="text1"/>
        </w:rPr>
        <w:t xml:space="preserve">These realities are well-documented in the scientific community, but </w:t>
      </w:r>
      <w:r w:rsidR="00721A41">
        <w:rPr>
          <w:color w:val="000000" w:themeColor="text1"/>
        </w:rPr>
        <w:t>not common knowledge amongst jurors</w:t>
      </w:r>
      <w:r w:rsidR="004E790B" w:rsidRPr="004F223B">
        <w:rPr>
          <w:color w:val="000000" w:themeColor="text1"/>
        </w:rPr>
        <w:t xml:space="preserve">, making expert testimony necessary </w:t>
      </w:r>
      <w:r w:rsidR="00994182" w:rsidRPr="004F223B">
        <w:rPr>
          <w:color w:val="000000" w:themeColor="text1"/>
        </w:rPr>
        <w:t>to</w:t>
      </w:r>
      <w:r w:rsidR="004E790B" w:rsidRPr="004F223B">
        <w:rPr>
          <w:color w:val="000000" w:themeColor="text1"/>
        </w:rPr>
        <w:t xml:space="preserve"> [</w:t>
      </w:r>
      <w:r w:rsidR="00E138A4">
        <w:rPr>
          <w:color w:val="000000" w:themeColor="text1"/>
          <w:highlight w:val="yellow"/>
        </w:rPr>
        <w:t>C</w:t>
      </w:r>
      <w:r w:rsidR="00E138A4" w:rsidRPr="006500A6">
        <w:rPr>
          <w:color w:val="000000" w:themeColor="text1"/>
          <w:highlight w:val="yellow"/>
        </w:rPr>
        <w:t>lient</w:t>
      </w:r>
      <w:r w:rsidR="004E790B" w:rsidRPr="004F223B">
        <w:rPr>
          <w:color w:val="000000" w:themeColor="text1"/>
        </w:rPr>
        <w:t>]</w:t>
      </w:r>
      <w:r w:rsidR="00994182" w:rsidRPr="004F223B">
        <w:rPr>
          <w:color w:val="000000" w:themeColor="text1"/>
        </w:rPr>
        <w:t>’s ability to challenge this element of felony murder</w:t>
      </w:r>
      <w:r w:rsidR="004E790B" w:rsidRPr="004F223B">
        <w:rPr>
          <w:color w:val="000000" w:themeColor="text1"/>
        </w:rPr>
        <w:t>.</w:t>
      </w:r>
      <w:r w:rsidR="004E790B" w:rsidRPr="004F223B">
        <w:rPr>
          <w:color w:val="000000"/>
        </w:rPr>
        <w:t xml:space="preserve"> </w:t>
      </w:r>
      <w:r w:rsidRPr="004F223B">
        <w:rPr>
          <w:color w:val="000000"/>
        </w:rPr>
        <w:t>In order to protect [</w:t>
      </w:r>
      <w:r w:rsidR="00E138A4">
        <w:rPr>
          <w:color w:val="000000"/>
          <w:highlight w:val="yellow"/>
        </w:rPr>
        <w:t>C</w:t>
      </w:r>
      <w:r w:rsidR="00E138A4" w:rsidRPr="004F223B">
        <w:rPr>
          <w:color w:val="000000"/>
          <w:highlight w:val="yellow"/>
        </w:rPr>
        <w:t>lient’s</w:t>
      </w:r>
      <w:r w:rsidRPr="004F223B">
        <w:rPr>
          <w:color w:val="000000"/>
        </w:rPr>
        <w:t xml:space="preserve">] due process </w:t>
      </w:r>
      <w:r w:rsidR="009F1078" w:rsidRPr="004F223B">
        <w:rPr>
          <w:color w:val="000000"/>
        </w:rPr>
        <w:t xml:space="preserve">and equal protection </w:t>
      </w:r>
      <w:r w:rsidRPr="004F223B">
        <w:rPr>
          <w:color w:val="000000"/>
        </w:rPr>
        <w:t>right</w:t>
      </w:r>
      <w:r w:rsidR="002F3ED6">
        <w:rPr>
          <w:color w:val="000000"/>
        </w:rPr>
        <w:t xml:space="preserve">s </w:t>
      </w:r>
      <w:r w:rsidRPr="004F223B">
        <w:rPr>
          <w:color w:val="000000"/>
        </w:rPr>
        <w:t xml:space="preserve">under the 5th and 14th Amendments to the United States Constitution, Article 1 §§ 6 and 11 of the New York State Constitution, and </w:t>
      </w:r>
      <w:hyperlink r:id="rId10" w:history="1">
        <w:r w:rsidRPr="004F223B">
          <w:rPr>
            <w:color w:val="1155CC"/>
            <w:u w:val="single"/>
          </w:rPr>
          <w:t>Article 18-B, § 722 of the County Law</w:t>
        </w:r>
      </w:hyperlink>
      <w:r w:rsidRPr="004F223B">
        <w:rPr>
          <w:color w:val="000000"/>
        </w:rPr>
        <w:t>, this Court should approve and fund the testimony of [</w:t>
      </w:r>
      <w:r w:rsidRPr="004F223B">
        <w:rPr>
          <w:color w:val="000000"/>
          <w:shd w:val="clear" w:color="auto" w:fill="FFFF00"/>
        </w:rPr>
        <w:t>expert witness</w:t>
      </w:r>
      <w:r w:rsidRPr="004F223B">
        <w:rPr>
          <w:color w:val="000000"/>
        </w:rPr>
        <w:t xml:space="preserve">] as necessary </w:t>
      </w:r>
      <w:r w:rsidR="002F01C1" w:rsidRPr="004F223B">
        <w:rPr>
          <w:color w:val="000000"/>
        </w:rPr>
        <w:t>to</w:t>
      </w:r>
      <w:r w:rsidRPr="004F223B">
        <w:rPr>
          <w:color w:val="000000"/>
        </w:rPr>
        <w:t xml:space="preserve"> [</w:t>
      </w:r>
      <w:r w:rsidRPr="004F223B">
        <w:rPr>
          <w:color w:val="000000"/>
          <w:shd w:val="clear" w:color="auto" w:fill="FFFF00"/>
        </w:rPr>
        <w:t>Client’s</w:t>
      </w:r>
      <w:r w:rsidRPr="004F223B">
        <w:rPr>
          <w:color w:val="000000"/>
        </w:rPr>
        <w:t xml:space="preserve">] ability </w:t>
      </w:r>
      <w:r w:rsidR="007B06C9">
        <w:rPr>
          <w:color w:val="000000"/>
        </w:rPr>
        <w:t>to present a</w:t>
      </w:r>
      <w:r w:rsidRPr="004F223B">
        <w:rPr>
          <w:color w:val="000000"/>
        </w:rPr>
        <w:t xml:space="preserve"> defense.</w:t>
      </w:r>
    </w:p>
    <w:p w14:paraId="2810F770" w14:textId="77777777" w:rsidR="00915334" w:rsidRDefault="00915334" w:rsidP="00915334">
      <w:pPr>
        <w:pStyle w:val="ListParagraph"/>
        <w:rPr>
          <w:b/>
          <w:bCs/>
        </w:rPr>
      </w:pPr>
    </w:p>
    <w:p w14:paraId="12825A92" w14:textId="584A55A7" w:rsidR="00E627E5" w:rsidRPr="007107A4" w:rsidRDefault="00994182" w:rsidP="007107A4">
      <w:pPr>
        <w:pStyle w:val="ListParagraph"/>
        <w:numPr>
          <w:ilvl w:val="0"/>
          <w:numId w:val="33"/>
        </w:numPr>
        <w:rPr>
          <w:b/>
          <w:bCs/>
        </w:rPr>
      </w:pPr>
      <w:r w:rsidRPr="007107A4">
        <w:rPr>
          <w:b/>
          <w:bCs/>
          <w:color w:val="000000"/>
        </w:rPr>
        <w:lastRenderedPageBreak/>
        <w:t>[</w:t>
      </w:r>
      <w:r w:rsidRPr="007107A4">
        <w:rPr>
          <w:b/>
          <w:bCs/>
          <w:color w:val="000000"/>
          <w:highlight w:val="yellow"/>
        </w:rPr>
        <w:t>Client</w:t>
      </w:r>
      <w:r w:rsidRPr="007107A4">
        <w:rPr>
          <w:b/>
          <w:bCs/>
          <w:color w:val="000000"/>
        </w:rPr>
        <w:t xml:space="preserve">] is entitled to an </w:t>
      </w:r>
      <w:r w:rsidRPr="007107A4">
        <w:rPr>
          <w:b/>
          <w:bCs/>
          <w:i/>
          <w:iCs/>
          <w:color w:val="000000"/>
        </w:rPr>
        <w:t xml:space="preserve">ex </w:t>
      </w:r>
      <w:proofErr w:type="spellStart"/>
      <w:r w:rsidRPr="007107A4">
        <w:rPr>
          <w:b/>
          <w:bCs/>
          <w:i/>
          <w:iCs/>
          <w:color w:val="000000"/>
        </w:rPr>
        <w:t>parte</w:t>
      </w:r>
      <w:proofErr w:type="spellEnd"/>
      <w:r w:rsidRPr="007107A4">
        <w:rPr>
          <w:b/>
          <w:bCs/>
          <w:color w:val="000000"/>
        </w:rPr>
        <w:t xml:space="preserve"> hearing </w:t>
      </w:r>
      <w:r w:rsidR="00A22D28" w:rsidRPr="007107A4">
        <w:rPr>
          <w:b/>
          <w:bCs/>
          <w:color w:val="000000"/>
        </w:rPr>
        <w:t>under</w:t>
      </w:r>
      <w:r w:rsidR="00855CC0" w:rsidRPr="007107A4">
        <w:rPr>
          <w:b/>
          <w:bCs/>
          <w:color w:val="000000"/>
        </w:rPr>
        <w:t xml:space="preserve"> §</w:t>
      </w:r>
      <w:r w:rsidR="00E138A4" w:rsidRPr="007107A4">
        <w:rPr>
          <w:b/>
          <w:bCs/>
          <w:color w:val="000000"/>
        </w:rPr>
        <w:t xml:space="preserve"> </w:t>
      </w:r>
      <w:r w:rsidR="00855CC0" w:rsidRPr="007107A4">
        <w:rPr>
          <w:b/>
          <w:bCs/>
          <w:color w:val="000000"/>
        </w:rPr>
        <w:t xml:space="preserve">722 </w:t>
      </w:r>
      <w:r w:rsidR="00FA53E9" w:rsidRPr="007107A4">
        <w:rPr>
          <w:b/>
          <w:bCs/>
          <w:color w:val="000000"/>
        </w:rPr>
        <w:t xml:space="preserve">because educating the factfinder about </w:t>
      </w:r>
      <w:r w:rsidR="00FA53E9" w:rsidRPr="001A7A18">
        <w:rPr>
          <w:b/>
          <w:bCs/>
          <w:color w:val="000000"/>
          <w:highlight w:val="yellow"/>
        </w:rPr>
        <w:t>[</w:t>
      </w:r>
      <w:r w:rsidR="00E138A4" w:rsidRPr="001A7A18">
        <w:rPr>
          <w:b/>
          <w:bCs/>
          <w:color w:val="000000"/>
          <w:highlight w:val="yellow"/>
        </w:rPr>
        <w:t>Client’s</w:t>
      </w:r>
      <w:r w:rsidR="00FA53E9" w:rsidRPr="001A7A18">
        <w:rPr>
          <w:b/>
          <w:bCs/>
          <w:color w:val="000000"/>
          <w:highlight w:val="yellow"/>
        </w:rPr>
        <w:t>]</w:t>
      </w:r>
      <w:r w:rsidR="00FA53E9" w:rsidRPr="007107A4">
        <w:rPr>
          <w:b/>
          <w:bCs/>
          <w:color w:val="000000"/>
        </w:rPr>
        <w:t xml:space="preserve"> diminished ability to foresee consequences is necessary to [</w:t>
      </w:r>
      <w:r w:rsidR="00FA53E9" w:rsidRPr="007107A4">
        <w:rPr>
          <w:b/>
          <w:bCs/>
          <w:color w:val="000000"/>
          <w:highlight w:val="yellow"/>
        </w:rPr>
        <w:t>his/her/their</w:t>
      </w:r>
      <w:r w:rsidR="00FA53E9" w:rsidRPr="007107A4">
        <w:rPr>
          <w:b/>
          <w:bCs/>
          <w:color w:val="000000"/>
        </w:rPr>
        <w:t xml:space="preserve">] ability to </w:t>
      </w:r>
      <w:r w:rsidR="007B06C9" w:rsidRPr="007107A4">
        <w:rPr>
          <w:b/>
          <w:bCs/>
          <w:color w:val="000000"/>
        </w:rPr>
        <w:t>present a defense</w:t>
      </w:r>
      <w:r w:rsidR="00FA53E9" w:rsidRPr="007107A4">
        <w:rPr>
          <w:b/>
          <w:bCs/>
          <w:color w:val="000000"/>
        </w:rPr>
        <w:t xml:space="preserve">. </w:t>
      </w:r>
    </w:p>
    <w:p w14:paraId="4AE62DA2" w14:textId="77777777" w:rsidR="00994182" w:rsidRPr="004F223B" w:rsidRDefault="00994182" w:rsidP="00994182">
      <w:pPr>
        <w:pStyle w:val="ListParagraph"/>
        <w:textAlignment w:val="baseline"/>
      </w:pPr>
    </w:p>
    <w:p w14:paraId="37768466" w14:textId="55D33AE5" w:rsidR="00D54D3F" w:rsidRPr="004F223B" w:rsidRDefault="00E627E5" w:rsidP="002F3ED6">
      <w:pPr>
        <w:spacing w:line="480" w:lineRule="auto"/>
        <w:ind w:firstLine="720"/>
        <w:jc w:val="both"/>
        <w:textAlignment w:val="baseline"/>
      </w:pPr>
      <w:r w:rsidRPr="004F223B">
        <w:rPr>
          <w:color w:val="000000"/>
        </w:rPr>
        <w:t xml:space="preserve">New York law requires courts to authorize counsel to obtain investigative, </w:t>
      </w:r>
      <w:r w:rsidR="009F1078" w:rsidRPr="004F223B">
        <w:rPr>
          <w:color w:val="000000"/>
        </w:rPr>
        <w:t>expert,</w:t>
      </w:r>
      <w:r w:rsidRPr="004F223B">
        <w:rPr>
          <w:color w:val="000000"/>
        </w:rPr>
        <w:t xml:space="preserve"> or other services on behalf of an indigent client</w:t>
      </w:r>
      <w:r w:rsidR="00432208" w:rsidRPr="004F223B">
        <w:rPr>
          <w:color w:val="000000"/>
        </w:rPr>
        <w:t xml:space="preserve"> when such services are necessary to the client’s ability to </w:t>
      </w:r>
      <w:r w:rsidR="007B06C9">
        <w:rPr>
          <w:color w:val="000000"/>
        </w:rPr>
        <w:t>present a defense</w:t>
      </w:r>
      <w:r w:rsidRPr="004F223B">
        <w:rPr>
          <w:color w:val="000000"/>
        </w:rPr>
        <w:t xml:space="preserve">. </w:t>
      </w:r>
      <w:hyperlink r:id="rId11" w:history="1">
        <w:r w:rsidRPr="004F223B">
          <w:rPr>
            <w:color w:val="1155CC"/>
            <w:u w:val="single"/>
          </w:rPr>
          <w:t>Article 18-B, § 722 of the County Law</w:t>
        </w:r>
      </w:hyperlink>
      <w:r w:rsidR="00C00A14" w:rsidRPr="004F223B">
        <w:rPr>
          <w:color w:val="000000"/>
        </w:rPr>
        <w:t xml:space="preserve"> (“</w:t>
      </w:r>
      <w:r w:rsidR="00C4131E" w:rsidRPr="004F223B">
        <w:rPr>
          <w:color w:val="000000"/>
        </w:rPr>
        <w:t xml:space="preserve">Upon a finding in an </w:t>
      </w:r>
      <w:r w:rsidR="00C4131E" w:rsidRPr="004F223B">
        <w:rPr>
          <w:i/>
          <w:iCs/>
          <w:color w:val="000000"/>
        </w:rPr>
        <w:t xml:space="preserve">ex </w:t>
      </w:r>
      <w:proofErr w:type="spellStart"/>
      <w:r w:rsidR="00C4131E" w:rsidRPr="004F223B">
        <w:rPr>
          <w:i/>
          <w:iCs/>
          <w:color w:val="000000"/>
        </w:rPr>
        <w:t>parte</w:t>
      </w:r>
      <w:proofErr w:type="spellEnd"/>
      <w:r w:rsidR="00C4131E" w:rsidRPr="004F223B">
        <w:rPr>
          <w:color w:val="000000"/>
        </w:rPr>
        <w:t xml:space="preserve"> proceeding that investigative, expert or other services are necessary and that the defendant</w:t>
      </w:r>
      <w:r w:rsidR="00C00A14" w:rsidRPr="004F223B">
        <w:rPr>
          <w:color w:val="000000"/>
        </w:rPr>
        <w:t xml:space="preserve">… </w:t>
      </w:r>
      <w:r w:rsidR="00C4131E" w:rsidRPr="004F223B">
        <w:rPr>
          <w:color w:val="000000"/>
        </w:rPr>
        <w:t>is financially unable to obtain them, the court shall authorize counsel</w:t>
      </w:r>
      <w:r w:rsidR="00432208" w:rsidRPr="004F223B">
        <w:rPr>
          <w:color w:val="000000"/>
        </w:rPr>
        <w:t xml:space="preserve">… </w:t>
      </w:r>
      <w:r w:rsidR="00C4131E" w:rsidRPr="004F223B">
        <w:rPr>
          <w:color w:val="000000"/>
        </w:rPr>
        <w:t>to obtain the services on behalf of the defendant</w:t>
      </w:r>
      <w:r w:rsidR="00432208" w:rsidRPr="004F223B">
        <w:rPr>
          <w:color w:val="000000"/>
        </w:rPr>
        <w:t>.”)</w:t>
      </w:r>
      <w:r w:rsidR="00C4131E" w:rsidRPr="004F223B">
        <w:rPr>
          <w:color w:val="000000"/>
        </w:rPr>
        <w:t xml:space="preserve">. </w:t>
      </w:r>
      <w:r w:rsidR="00FA53E9" w:rsidRPr="004F223B">
        <w:rPr>
          <w:rFonts w:asciiTheme="majorBidi" w:hAnsiTheme="majorBidi" w:cstheme="majorBidi"/>
          <w:color w:val="00172E"/>
        </w:rPr>
        <w:t>[</w:t>
      </w:r>
      <w:r w:rsidR="00FA53E9" w:rsidRPr="003F4A63">
        <w:rPr>
          <w:rFonts w:asciiTheme="majorBidi" w:hAnsiTheme="majorBidi" w:cstheme="majorBidi"/>
          <w:color w:val="00172E"/>
          <w:highlight w:val="yellow"/>
        </w:rPr>
        <w:t>Client</w:t>
      </w:r>
      <w:r w:rsidR="00FA53E9" w:rsidRPr="004F223B">
        <w:rPr>
          <w:rFonts w:asciiTheme="majorBidi" w:hAnsiTheme="majorBidi" w:cstheme="majorBidi"/>
          <w:color w:val="00172E"/>
        </w:rPr>
        <w:t>] is indigent per the requirements of §</w:t>
      </w:r>
      <w:r w:rsidR="00E138A4">
        <w:rPr>
          <w:rFonts w:asciiTheme="majorBidi" w:hAnsiTheme="majorBidi" w:cstheme="majorBidi"/>
          <w:color w:val="00172E"/>
        </w:rPr>
        <w:t xml:space="preserve"> </w:t>
      </w:r>
      <w:r w:rsidR="00FA53E9" w:rsidRPr="004F223B">
        <w:rPr>
          <w:rFonts w:asciiTheme="majorBidi" w:hAnsiTheme="majorBidi" w:cstheme="majorBidi"/>
          <w:color w:val="00172E"/>
        </w:rPr>
        <w:t xml:space="preserve">722. </w:t>
      </w:r>
      <w:r w:rsidR="00FA53E9" w:rsidRPr="004F223B">
        <w:rPr>
          <w:rFonts w:asciiTheme="majorBidi" w:hAnsiTheme="majorBidi" w:cstheme="majorBidi"/>
          <w:i/>
          <w:iCs/>
          <w:color w:val="00172E"/>
        </w:rPr>
        <w:t>See</w:t>
      </w:r>
      <w:r w:rsidR="00FA53E9" w:rsidRPr="004F223B">
        <w:rPr>
          <w:rFonts w:asciiTheme="majorBidi" w:hAnsiTheme="majorBidi" w:cstheme="majorBidi"/>
          <w:color w:val="00172E"/>
        </w:rPr>
        <w:t xml:space="preserve"> </w:t>
      </w:r>
      <w:hyperlink r:id="rId12" w:history="1">
        <w:r w:rsidR="00FA53E9" w:rsidRPr="004F223B">
          <w:rPr>
            <w:rStyle w:val="Hyperlink"/>
          </w:rPr>
          <w:t>Standards for Determining Financial Eligibility for Assigned Counsel</w:t>
        </w:r>
      </w:hyperlink>
      <w:r w:rsidR="00A22D28" w:rsidRPr="004F223B">
        <w:t>,</w:t>
      </w:r>
      <w:r w:rsidR="00FA53E9" w:rsidRPr="004F223B">
        <w:t xml:space="preserve"> </w:t>
      </w:r>
      <w:r w:rsidR="00FA53E9" w:rsidRPr="004F223B">
        <w:rPr>
          <w:smallCaps/>
        </w:rPr>
        <w:t>New York State Office of Indigent Legal Services</w:t>
      </w:r>
      <w:r w:rsidR="00FA53E9" w:rsidRPr="004F223B">
        <w:t xml:space="preserve"> (Feb. 16, 2021). </w:t>
      </w:r>
      <w:r w:rsidR="007B06C9">
        <w:rPr>
          <w:color w:val="000000"/>
        </w:rPr>
        <w:t>T</w:t>
      </w:r>
      <w:r w:rsidR="00071F1F" w:rsidRPr="004F223B">
        <w:rPr>
          <w:color w:val="000000"/>
        </w:rPr>
        <w:t xml:space="preserve">he Supreme Court has </w:t>
      </w:r>
      <w:r w:rsidR="007B06C9">
        <w:rPr>
          <w:color w:val="000000"/>
        </w:rPr>
        <w:t>made clear</w:t>
      </w:r>
      <w:r w:rsidR="007B06C9" w:rsidRPr="004F223B">
        <w:rPr>
          <w:color w:val="000000"/>
        </w:rPr>
        <w:t xml:space="preserve"> </w:t>
      </w:r>
      <w:r w:rsidR="00071F1F" w:rsidRPr="004F223B">
        <w:rPr>
          <w:color w:val="000000"/>
        </w:rPr>
        <w:t>that “the State must, as a matter of equal protection, provide indigent prisoners with the basic tools of an adequate defense</w:t>
      </w:r>
      <w:r w:rsidR="007B06C9">
        <w:rPr>
          <w:color w:val="000000"/>
        </w:rPr>
        <w:t>….</w:t>
      </w:r>
      <w:r w:rsidR="00071F1F" w:rsidRPr="004F223B">
        <w:rPr>
          <w:color w:val="000000"/>
        </w:rPr>
        <w:t xml:space="preserve">” </w:t>
      </w:r>
      <w:r w:rsidR="00071F1F" w:rsidRPr="004F223B">
        <w:rPr>
          <w:i/>
          <w:iCs/>
          <w:color w:val="000000"/>
        </w:rPr>
        <w:t>Britt v. North Carolina</w:t>
      </w:r>
      <w:r w:rsidR="00071F1F" w:rsidRPr="004F223B">
        <w:rPr>
          <w:color w:val="000000"/>
        </w:rPr>
        <w:t>, 404 U.S. 226, 227 (1971)</w:t>
      </w:r>
      <w:r w:rsidR="00E138A4">
        <w:rPr>
          <w:color w:val="000000"/>
        </w:rPr>
        <w:t xml:space="preserve"> (</w:t>
      </w:r>
      <w:r w:rsidR="00071F1F" w:rsidRPr="004F223B">
        <w:rPr>
          <w:color w:val="000000"/>
        </w:rPr>
        <w:t xml:space="preserve">citing </w:t>
      </w:r>
      <w:r w:rsidR="00071F1F" w:rsidRPr="004F223B">
        <w:rPr>
          <w:i/>
          <w:iCs/>
          <w:color w:val="000000"/>
        </w:rPr>
        <w:t>Griffin v. Illinois</w:t>
      </w:r>
      <w:r w:rsidR="0000092C" w:rsidRPr="004F223B">
        <w:rPr>
          <w:color w:val="000000"/>
        </w:rPr>
        <w:t>, 351 U.S. 12 (1956)</w:t>
      </w:r>
      <w:r w:rsidR="00E138A4">
        <w:rPr>
          <w:color w:val="000000"/>
        </w:rPr>
        <w:t>)</w:t>
      </w:r>
      <w:r w:rsidR="0000092C" w:rsidRPr="004F223B">
        <w:rPr>
          <w:color w:val="000000"/>
        </w:rPr>
        <w:t xml:space="preserve">. </w:t>
      </w:r>
      <w:r w:rsidR="00A22D28" w:rsidRPr="004F223B">
        <w:t xml:space="preserve">This court has discretion in deciding whether an expert is necessary to </w:t>
      </w:r>
      <w:r w:rsidR="00071F1F" w:rsidRPr="004F223B">
        <w:t xml:space="preserve">an adequate </w:t>
      </w:r>
      <w:r w:rsidR="00A22D28" w:rsidRPr="004F223B">
        <w:t>defense</w:t>
      </w:r>
      <w:r w:rsidR="007B06C9">
        <w:t xml:space="preserve"> but should be guided by whether the area of expertise is outside common knowledge</w:t>
      </w:r>
      <w:r w:rsidR="00A22D28" w:rsidRPr="004F223B">
        <w:t xml:space="preserve">. </w:t>
      </w:r>
      <w:r w:rsidR="00A22D28" w:rsidRPr="004F223B">
        <w:rPr>
          <w:rFonts w:asciiTheme="majorBidi" w:hAnsiTheme="majorBidi" w:cstheme="majorBidi"/>
          <w:i/>
          <w:iCs/>
          <w:color w:val="000000" w:themeColor="text1"/>
        </w:rPr>
        <w:t>People v. Cronin</w:t>
      </w:r>
      <w:r w:rsidR="00A22D28" w:rsidRPr="004F223B">
        <w:rPr>
          <w:rFonts w:asciiTheme="majorBidi" w:hAnsiTheme="majorBidi" w:cstheme="majorBidi"/>
          <w:color w:val="000000" w:themeColor="text1"/>
        </w:rPr>
        <w:t>, 60 N.Y.2d 430, 433 (1983) (“</w:t>
      </w:r>
      <w:r w:rsidR="00A22D28" w:rsidRPr="004F223B">
        <w:rPr>
          <w:rFonts w:asciiTheme="majorBidi" w:hAnsiTheme="majorBidi" w:cstheme="majorBidi"/>
          <w:color w:val="00172E"/>
        </w:rPr>
        <w:t xml:space="preserve">It is for the trial court in the first instance to determine when jurors are able to draw conclusions from the evidence based on their day-to-day experience, their common observation and their knowledge, and when they would be benefited by the specialized knowledge of an expert witness.”). </w:t>
      </w:r>
      <w:r w:rsidR="00071F1F" w:rsidRPr="004F223B">
        <w:rPr>
          <w:rFonts w:asciiTheme="majorBidi" w:hAnsiTheme="majorBidi" w:cstheme="majorBidi"/>
          <w:color w:val="00172E"/>
        </w:rPr>
        <w:t>Interpreting §</w:t>
      </w:r>
      <w:r w:rsidR="00E138A4">
        <w:rPr>
          <w:rFonts w:asciiTheme="majorBidi" w:hAnsiTheme="majorBidi" w:cstheme="majorBidi"/>
          <w:color w:val="00172E"/>
        </w:rPr>
        <w:t xml:space="preserve"> </w:t>
      </w:r>
      <w:r w:rsidR="00071F1F" w:rsidRPr="004F223B">
        <w:rPr>
          <w:rFonts w:asciiTheme="majorBidi" w:hAnsiTheme="majorBidi" w:cstheme="majorBidi"/>
          <w:color w:val="00172E"/>
        </w:rPr>
        <w:t xml:space="preserve">722’s federal counterpart, </w:t>
      </w:r>
      <w:r w:rsidR="00BB7C56" w:rsidRPr="004F223B">
        <w:rPr>
          <w:rFonts w:asciiTheme="majorBidi" w:hAnsiTheme="majorBidi" w:cstheme="majorBidi"/>
          <w:color w:val="00172E"/>
        </w:rPr>
        <w:t xml:space="preserve">18 </w:t>
      </w:r>
      <w:r w:rsidR="00071F1F" w:rsidRPr="004F223B">
        <w:rPr>
          <w:rFonts w:asciiTheme="majorBidi" w:hAnsiTheme="majorBidi" w:cstheme="majorBidi"/>
          <w:color w:val="00172E"/>
        </w:rPr>
        <w:t xml:space="preserve">U.S.C.A </w:t>
      </w:r>
      <w:r w:rsidR="00BB7C56" w:rsidRPr="004F223B">
        <w:rPr>
          <w:rFonts w:asciiTheme="majorBidi" w:hAnsiTheme="majorBidi" w:cstheme="majorBidi"/>
          <w:color w:val="00172E"/>
        </w:rPr>
        <w:t>§</w:t>
      </w:r>
      <w:r w:rsidR="008A57EA" w:rsidRPr="004F223B">
        <w:rPr>
          <w:rFonts w:asciiTheme="majorBidi" w:hAnsiTheme="majorBidi" w:cstheme="majorBidi"/>
          <w:color w:val="00172E"/>
        </w:rPr>
        <w:t xml:space="preserve"> </w:t>
      </w:r>
      <w:r w:rsidR="00BB7C56" w:rsidRPr="004F223B">
        <w:rPr>
          <w:rFonts w:asciiTheme="majorBidi" w:hAnsiTheme="majorBidi" w:cstheme="majorBidi"/>
          <w:color w:val="00172E"/>
        </w:rPr>
        <w:t>3006A</w:t>
      </w:r>
      <w:r w:rsidR="008A57EA" w:rsidRPr="004F223B">
        <w:rPr>
          <w:rFonts w:asciiTheme="majorBidi" w:hAnsiTheme="majorBidi" w:cstheme="majorBidi"/>
          <w:color w:val="00172E"/>
        </w:rPr>
        <w:t>(e)(1)</w:t>
      </w:r>
      <w:r w:rsidR="00BB7C56" w:rsidRPr="004F223B">
        <w:rPr>
          <w:rFonts w:asciiTheme="majorBidi" w:hAnsiTheme="majorBidi" w:cstheme="majorBidi"/>
          <w:color w:val="00172E"/>
        </w:rPr>
        <w:t>,</w:t>
      </w:r>
      <w:r w:rsidR="00BB7C56" w:rsidRPr="004F223B">
        <w:rPr>
          <w:rStyle w:val="FootnoteReference"/>
          <w:rFonts w:asciiTheme="majorBidi" w:hAnsiTheme="majorBidi" w:cstheme="majorBidi"/>
          <w:color w:val="00172E"/>
        </w:rPr>
        <w:footnoteReference w:id="1"/>
      </w:r>
      <w:r w:rsidR="00BB7C56" w:rsidRPr="004F223B">
        <w:rPr>
          <w:rFonts w:asciiTheme="majorBidi" w:hAnsiTheme="majorBidi" w:cstheme="majorBidi"/>
          <w:color w:val="00172E"/>
        </w:rPr>
        <w:t xml:space="preserve"> the Second Circuit </w:t>
      </w:r>
      <w:r w:rsidR="00E138A4">
        <w:rPr>
          <w:rFonts w:asciiTheme="majorBidi" w:hAnsiTheme="majorBidi" w:cstheme="majorBidi"/>
          <w:color w:val="00172E"/>
        </w:rPr>
        <w:t xml:space="preserve">Court of Appeals </w:t>
      </w:r>
      <w:r w:rsidR="00BB7C56" w:rsidRPr="004F223B">
        <w:rPr>
          <w:rFonts w:asciiTheme="majorBidi" w:hAnsiTheme="majorBidi" w:cstheme="majorBidi"/>
          <w:color w:val="00172E"/>
        </w:rPr>
        <w:t>has construed “necessary to an adequate defense” in the following way: “</w:t>
      </w:r>
      <w:r w:rsidR="00BB7C56" w:rsidRPr="004F223B">
        <w:rPr>
          <w:rFonts w:asciiTheme="majorBidi" w:hAnsiTheme="majorBidi" w:cstheme="majorBidi"/>
          <w:color w:val="000000"/>
        </w:rPr>
        <w:t>‘</w:t>
      </w:r>
      <w:r w:rsidR="008A57EA" w:rsidRPr="004F223B">
        <w:rPr>
          <w:rFonts w:asciiTheme="majorBidi" w:hAnsiTheme="majorBidi" w:cstheme="majorBidi"/>
          <w:color w:val="000000"/>
        </w:rPr>
        <w:t>n</w:t>
      </w:r>
      <w:r w:rsidR="00BB7C56" w:rsidRPr="004F223B">
        <w:rPr>
          <w:rFonts w:asciiTheme="majorBidi" w:hAnsiTheme="majorBidi" w:cstheme="majorBidi"/>
          <w:color w:val="000000"/>
        </w:rPr>
        <w:t xml:space="preserve">ecessary’ should at least mean ‘reasonably necessary,’ </w:t>
      </w:r>
      <w:r w:rsidR="00BB7C56" w:rsidRPr="004F223B">
        <w:rPr>
          <w:rFonts w:asciiTheme="majorBidi" w:hAnsiTheme="majorBidi" w:cstheme="majorBidi"/>
          <w:color w:val="000000"/>
        </w:rPr>
        <w:lastRenderedPageBreak/>
        <w:t xml:space="preserve">and ‘an adequate defense’ must include preparation for cross-examination of a government expert as well as presentation of an expert defense witness.” </w:t>
      </w:r>
      <w:r w:rsidR="00E138A4" w:rsidRPr="004F223B">
        <w:rPr>
          <w:rFonts w:asciiTheme="majorBidi" w:hAnsiTheme="majorBidi" w:cstheme="majorBidi"/>
          <w:i/>
          <w:iCs/>
          <w:color w:val="000000"/>
        </w:rPr>
        <w:t>U</w:t>
      </w:r>
      <w:r w:rsidR="00E138A4">
        <w:rPr>
          <w:rFonts w:asciiTheme="majorBidi" w:hAnsiTheme="majorBidi" w:cstheme="majorBidi"/>
          <w:i/>
          <w:iCs/>
          <w:color w:val="000000"/>
        </w:rPr>
        <w:t>nited States</w:t>
      </w:r>
      <w:r w:rsidR="00E138A4" w:rsidRPr="004F223B">
        <w:rPr>
          <w:rFonts w:asciiTheme="majorBidi" w:hAnsiTheme="majorBidi" w:cstheme="majorBidi"/>
          <w:i/>
          <w:iCs/>
          <w:color w:val="000000"/>
        </w:rPr>
        <w:t xml:space="preserve"> </w:t>
      </w:r>
      <w:r w:rsidR="00BB7C56" w:rsidRPr="004F223B">
        <w:rPr>
          <w:rFonts w:asciiTheme="majorBidi" w:hAnsiTheme="majorBidi" w:cstheme="majorBidi"/>
          <w:i/>
          <w:iCs/>
          <w:color w:val="000000"/>
        </w:rPr>
        <w:t>v. Oliver</w:t>
      </w:r>
      <w:r w:rsidR="00BB7C56" w:rsidRPr="004F223B">
        <w:rPr>
          <w:rFonts w:asciiTheme="majorBidi" w:hAnsiTheme="majorBidi" w:cstheme="majorBidi"/>
          <w:color w:val="000000"/>
        </w:rPr>
        <w:t xml:space="preserve">, 626 F.2d 254, 260 (2d Cir. 1980). </w:t>
      </w:r>
    </w:p>
    <w:p w14:paraId="408FBBA3" w14:textId="01B4DD73" w:rsidR="00D54D3F" w:rsidRPr="004F223B" w:rsidRDefault="00BB7C56" w:rsidP="00E87786">
      <w:pPr>
        <w:spacing w:line="480" w:lineRule="auto"/>
        <w:ind w:firstLine="720"/>
        <w:jc w:val="both"/>
        <w:textAlignment w:val="baseline"/>
        <w:rPr>
          <w:color w:val="000000"/>
        </w:rPr>
      </w:pPr>
      <w:r w:rsidRPr="004F223B">
        <w:rPr>
          <w:rFonts w:asciiTheme="majorBidi" w:hAnsiTheme="majorBidi" w:cstheme="majorBidi"/>
          <w:color w:val="000000"/>
        </w:rPr>
        <w:t>Here, a juvenile brain development expert is reasonably necessary for [</w:t>
      </w:r>
      <w:r w:rsidRPr="004F223B">
        <w:rPr>
          <w:rFonts w:asciiTheme="majorBidi" w:hAnsiTheme="majorBidi" w:cstheme="majorBidi"/>
          <w:color w:val="000000"/>
          <w:highlight w:val="yellow"/>
        </w:rPr>
        <w:t>Client</w:t>
      </w:r>
      <w:r w:rsidRPr="004F223B">
        <w:rPr>
          <w:rFonts w:asciiTheme="majorBidi" w:hAnsiTheme="majorBidi" w:cstheme="majorBidi"/>
          <w:color w:val="000000"/>
        </w:rPr>
        <w:t xml:space="preserve">] to </w:t>
      </w:r>
      <w:r w:rsidR="007B06C9">
        <w:rPr>
          <w:rFonts w:asciiTheme="majorBidi" w:hAnsiTheme="majorBidi" w:cstheme="majorBidi"/>
          <w:color w:val="000000"/>
        </w:rPr>
        <w:t>present a defense</w:t>
      </w:r>
      <w:r w:rsidR="007B06C9" w:rsidRPr="004F223B">
        <w:rPr>
          <w:rFonts w:asciiTheme="majorBidi" w:hAnsiTheme="majorBidi" w:cstheme="majorBidi"/>
          <w:color w:val="000000"/>
        </w:rPr>
        <w:t xml:space="preserve"> </w:t>
      </w:r>
      <w:r w:rsidRPr="004F223B">
        <w:rPr>
          <w:rFonts w:asciiTheme="majorBidi" w:hAnsiTheme="majorBidi" w:cstheme="majorBidi"/>
          <w:color w:val="000000"/>
        </w:rPr>
        <w:t xml:space="preserve">against </w:t>
      </w:r>
      <w:r w:rsidR="008A57EA" w:rsidRPr="004F223B">
        <w:rPr>
          <w:rFonts w:asciiTheme="majorBidi" w:hAnsiTheme="majorBidi" w:cstheme="majorBidi"/>
          <w:color w:val="000000"/>
        </w:rPr>
        <w:t>the charge of felony murder</w:t>
      </w:r>
      <w:r w:rsidRPr="004F223B">
        <w:rPr>
          <w:rFonts w:asciiTheme="majorBidi" w:hAnsiTheme="majorBidi" w:cstheme="majorBidi"/>
          <w:color w:val="000000"/>
        </w:rPr>
        <w:t xml:space="preserve">. </w:t>
      </w:r>
      <w:r w:rsidR="00E87786" w:rsidRPr="004F223B">
        <w:rPr>
          <w:rFonts w:asciiTheme="majorBidi" w:hAnsiTheme="majorBidi" w:cstheme="majorBidi"/>
          <w:color w:val="000000"/>
        </w:rPr>
        <w:t xml:space="preserve">In charging the accused with felony murder, New York Criminal Jury Instructions require </w:t>
      </w:r>
      <w:r w:rsidR="00D54D3F" w:rsidRPr="004F223B">
        <w:rPr>
          <w:color w:val="000000"/>
        </w:rPr>
        <w:t>the prosecution to prove two elements:</w:t>
      </w:r>
    </w:p>
    <w:p w14:paraId="3BF5DA9E" w14:textId="77777777" w:rsidR="00D54D3F" w:rsidRPr="004F223B" w:rsidRDefault="00D54D3F" w:rsidP="00D54D3F">
      <w:pPr>
        <w:pStyle w:val="ListParagraph"/>
        <w:numPr>
          <w:ilvl w:val="0"/>
          <w:numId w:val="38"/>
        </w:numPr>
        <w:shd w:val="clear" w:color="auto" w:fill="FFFFFF"/>
        <w:spacing w:line="320" w:lineRule="atLeast"/>
        <w:rPr>
          <w:color w:val="000000"/>
        </w:rPr>
      </w:pPr>
      <w:r w:rsidRPr="004F223B">
        <w:rPr>
          <w:color w:val="000000"/>
        </w:rPr>
        <w:t xml:space="preserve">That on or about </w:t>
      </w:r>
      <w:r w:rsidRPr="004F223B">
        <w:rPr>
          <w:rStyle w:val="Emphasis"/>
          <w:color w:val="3D3D3D"/>
          <w:bdr w:val="none" w:sz="0" w:space="0" w:color="auto" w:frame="1"/>
        </w:rPr>
        <w:t>(date)</w:t>
      </w:r>
      <w:r w:rsidRPr="004F223B">
        <w:rPr>
          <w:color w:val="000000"/>
        </w:rPr>
        <w:t xml:space="preserve">, in the county of </w:t>
      </w:r>
      <w:r w:rsidRPr="004F223B">
        <w:rPr>
          <w:rStyle w:val="Emphasis"/>
          <w:color w:val="3D3D3D"/>
          <w:bdr w:val="none" w:sz="0" w:space="0" w:color="auto" w:frame="1"/>
        </w:rPr>
        <w:t>(County)</w:t>
      </w:r>
      <w:r w:rsidRPr="004F223B">
        <w:rPr>
          <w:color w:val="000000"/>
        </w:rPr>
        <w:t xml:space="preserve">, the defendant, </w:t>
      </w:r>
      <w:r w:rsidRPr="004F223B">
        <w:rPr>
          <w:rStyle w:val="Emphasis"/>
          <w:color w:val="3D3D3D"/>
          <w:bdr w:val="none" w:sz="0" w:space="0" w:color="auto" w:frame="1"/>
        </w:rPr>
        <w:t>(defendant's name)</w:t>
      </w:r>
      <w:r w:rsidRPr="004F223B">
        <w:rPr>
          <w:color w:val="000000"/>
        </w:rPr>
        <w:t>, committed [</w:t>
      </w:r>
      <w:r w:rsidRPr="004F223B">
        <w:rPr>
          <w:rStyle w:val="Emphasis"/>
          <w:color w:val="3D3D3D"/>
          <w:bdr w:val="none" w:sz="0" w:space="0" w:color="auto" w:frame="1"/>
        </w:rPr>
        <w:t>or</w:t>
      </w:r>
      <w:r w:rsidRPr="004F223B">
        <w:rPr>
          <w:color w:val="000000"/>
        </w:rPr>
        <w:t xml:space="preserve"> attempted to commit] </w:t>
      </w:r>
      <w:r w:rsidRPr="004F223B">
        <w:rPr>
          <w:rStyle w:val="Emphasis"/>
          <w:color w:val="3D3D3D"/>
          <w:bdr w:val="none" w:sz="0" w:space="0" w:color="auto" w:frame="1"/>
        </w:rPr>
        <w:t>(name of felony)</w:t>
      </w:r>
      <w:r w:rsidRPr="004F223B">
        <w:rPr>
          <w:color w:val="000000"/>
        </w:rPr>
        <w:t>; and</w:t>
      </w:r>
    </w:p>
    <w:p w14:paraId="5E61E75E" w14:textId="61D0A0A9" w:rsidR="00D54D3F" w:rsidRPr="004F223B" w:rsidRDefault="00D54D3F" w:rsidP="00D54D3F">
      <w:pPr>
        <w:pStyle w:val="ListParagraph"/>
        <w:numPr>
          <w:ilvl w:val="0"/>
          <w:numId w:val="38"/>
        </w:numPr>
        <w:shd w:val="clear" w:color="auto" w:fill="FFFFFF"/>
        <w:spacing w:line="320" w:lineRule="atLeast"/>
        <w:rPr>
          <w:color w:val="000000"/>
        </w:rPr>
      </w:pPr>
      <w:r w:rsidRPr="004F223B">
        <w:rPr>
          <w:color w:val="000000"/>
        </w:rPr>
        <w:t>That, in the course of and in furtherance of the commission [</w:t>
      </w:r>
      <w:r w:rsidRPr="004F223B">
        <w:rPr>
          <w:rStyle w:val="Emphasis"/>
          <w:color w:val="3D3D3D"/>
          <w:bdr w:val="none" w:sz="0" w:space="0" w:color="auto" w:frame="1"/>
        </w:rPr>
        <w:t>or</w:t>
      </w:r>
      <w:r w:rsidRPr="004F223B">
        <w:rPr>
          <w:color w:val="000000"/>
        </w:rPr>
        <w:t xml:space="preserve"> attempted commission] of such </w:t>
      </w:r>
      <w:r w:rsidRPr="004F223B">
        <w:rPr>
          <w:rStyle w:val="Emphasis"/>
          <w:color w:val="3D3D3D"/>
          <w:bdr w:val="none" w:sz="0" w:space="0" w:color="auto" w:frame="1"/>
        </w:rPr>
        <w:t>(name of felony)</w:t>
      </w:r>
      <w:r w:rsidRPr="004F223B">
        <w:rPr>
          <w:color w:val="000000"/>
        </w:rPr>
        <w:t xml:space="preserve"> [</w:t>
      </w:r>
      <w:r w:rsidRPr="004F223B">
        <w:rPr>
          <w:rStyle w:val="Emphasis"/>
          <w:color w:val="3D3D3D"/>
          <w:bdr w:val="none" w:sz="0" w:space="0" w:color="auto" w:frame="1"/>
        </w:rPr>
        <w:t>or</w:t>
      </w:r>
      <w:r w:rsidRPr="004F223B">
        <w:rPr>
          <w:color w:val="000000"/>
        </w:rPr>
        <w:t xml:space="preserve"> of immediate flight therefrom], the defendant [</w:t>
      </w:r>
      <w:r w:rsidRPr="004F223B">
        <w:rPr>
          <w:rStyle w:val="Emphasis"/>
          <w:color w:val="3D3D3D"/>
          <w:bdr w:val="none" w:sz="0" w:space="0" w:color="auto" w:frame="1"/>
        </w:rPr>
        <w:t>or</w:t>
      </w:r>
      <w:r w:rsidRPr="004F223B">
        <w:rPr>
          <w:color w:val="000000"/>
        </w:rPr>
        <w:t xml:space="preserve"> another participant in the commission (</w:t>
      </w:r>
      <w:r w:rsidRPr="004F223B">
        <w:rPr>
          <w:rStyle w:val="Emphasis"/>
          <w:color w:val="3D3D3D"/>
          <w:bdr w:val="none" w:sz="0" w:space="0" w:color="auto" w:frame="1"/>
        </w:rPr>
        <w:t>or</w:t>
      </w:r>
      <w:r w:rsidRPr="004F223B">
        <w:rPr>
          <w:color w:val="000000"/>
        </w:rPr>
        <w:t xml:space="preserve"> attempted commission) of that felony] caused the death of </w:t>
      </w:r>
      <w:r w:rsidRPr="004F223B">
        <w:rPr>
          <w:rStyle w:val="Emphasis"/>
          <w:color w:val="3D3D3D"/>
          <w:bdr w:val="none" w:sz="0" w:space="0" w:color="auto" w:frame="1"/>
        </w:rPr>
        <w:t>(specify)</w:t>
      </w:r>
      <w:r w:rsidRPr="004F223B">
        <w:rPr>
          <w:color w:val="000000"/>
        </w:rPr>
        <w:t xml:space="preserve"> and that </w:t>
      </w:r>
      <w:r w:rsidRPr="004F223B">
        <w:rPr>
          <w:rStyle w:val="Emphasis"/>
          <w:color w:val="3D3D3D"/>
          <w:bdr w:val="none" w:sz="0" w:space="0" w:color="auto" w:frame="1"/>
        </w:rPr>
        <w:t>(specify)</w:t>
      </w:r>
      <w:r w:rsidRPr="004F223B">
        <w:rPr>
          <w:color w:val="000000"/>
        </w:rPr>
        <w:t xml:space="preserve"> was not a participant in that felony.</w:t>
      </w:r>
    </w:p>
    <w:p w14:paraId="2B029E09" w14:textId="77777777" w:rsidR="00E87786" w:rsidRPr="004F223B" w:rsidRDefault="00E87786" w:rsidP="00E87786">
      <w:pPr>
        <w:shd w:val="clear" w:color="auto" w:fill="FFFFFF"/>
        <w:spacing w:line="320" w:lineRule="atLeast"/>
        <w:rPr>
          <w:color w:val="000000"/>
        </w:rPr>
      </w:pPr>
    </w:p>
    <w:p w14:paraId="2730A56A" w14:textId="7EE8D99B" w:rsidR="00822407" w:rsidRDefault="00E87786" w:rsidP="001A7A18">
      <w:pPr>
        <w:spacing w:line="480" w:lineRule="auto"/>
        <w:ind w:firstLine="720"/>
        <w:jc w:val="both"/>
        <w:textAlignment w:val="baseline"/>
        <w:rPr>
          <w:color w:val="000000"/>
        </w:rPr>
      </w:pPr>
      <w:r w:rsidRPr="004F223B">
        <w:rPr>
          <w:color w:val="000000"/>
        </w:rPr>
        <w:t xml:space="preserve">Penal Law §125.25(3) </w:t>
      </w:r>
      <w:r w:rsidR="00D54D3F" w:rsidRPr="004F223B">
        <w:rPr>
          <w:color w:val="000000"/>
        </w:rPr>
        <w:t>CJI2D(NY) PLO 1350.</w:t>
      </w:r>
      <w:r w:rsidR="002F3ED6">
        <w:rPr>
          <w:rFonts w:asciiTheme="majorBidi" w:hAnsiTheme="majorBidi" w:cstheme="majorBidi"/>
          <w:color w:val="1F1F1F"/>
          <w:shd w:val="clear" w:color="auto" w:fill="FFFFFF"/>
        </w:rPr>
        <w:t>A</w:t>
      </w:r>
      <w:r w:rsidR="00A813D3" w:rsidRPr="004F223B">
        <w:rPr>
          <w:rFonts w:asciiTheme="majorBidi" w:hAnsiTheme="majorBidi" w:cstheme="majorBidi"/>
          <w:color w:val="1F1F1F"/>
          <w:shd w:val="clear" w:color="auto" w:fill="FFFFFF"/>
        </w:rPr>
        <w:t xml:space="preserve">ssuring that the accused, especially when indigent, has a fair opportunity to present </w:t>
      </w:r>
      <w:r w:rsidR="007B06C9">
        <w:rPr>
          <w:rFonts w:asciiTheme="majorBidi" w:hAnsiTheme="majorBidi" w:cstheme="majorBidi"/>
          <w:color w:val="1F1F1F"/>
          <w:shd w:val="clear" w:color="auto" w:fill="FFFFFF"/>
        </w:rPr>
        <w:t>a</w:t>
      </w:r>
      <w:r w:rsidR="007B06C9" w:rsidRPr="004F223B">
        <w:rPr>
          <w:rFonts w:asciiTheme="majorBidi" w:hAnsiTheme="majorBidi" w:cstheme="majorBidi"/>
          <w:color w:val="1F1F1F"/>
          <w:shd w:val="clear" w:color="auto" w:fill="FFFFFF"/>
        </w:rPr>
        <w:t xml:space="preserve"> </w:t>
      </w:r>
      <w:r w:rsidR="00A813D3" w:rsidRPr="004F223B">
        <w:rPr>
          <w:rFonts w:asciiTheme="majorBidi" w:hAnsiTheme="majorBidi" w:cstheme="majorBidi"/>
          <w:color w:val="1F1F1F"/>
          <w:shd w:val="clear" w:color="auto" w:fill="FFFFFF"/>
        </w:rPr>
        <w:t xml:space="preserve">defense against </w:t>
      </w:r>
      <w:r w:rsidR="00822407" w:rsidRPr="004F223B">
        <w:rPr>
          <w:rFonts w:asciiTheme="majorBidi" w:hAnsiTheme="majorBidi" w:cstheme="majorBidi"/>
          <w:color w:val="1F1F1F"/>
          <w:shd w:val="clear" w:color="auto" w:fill="FFFFFF"/>
        </w:rPr>
        <w:t>each</w:t>
      </w:r>
      <w:r w:rsidR="00A813D3" w:rsidRPr="004F223B">
        <w:rPr>
          <w:rFonts w:asciiTheme="majorBidi" w:hAnsiTheme="majorBidi" w:cstheme="majorBidi"/>
          <w:color w:val="1F1F1F"/>
          <w:shd w:val="clear" w:color="auto" w:fill="FFFFFF"/>
        </w:rPr>
        <w:t xml:space="preserve"> </w:t>
      </w:r>
      <w:r w:rsidR="00822407">
        <w:rPr>
          <w:rFonts w:asciiTheme="majorBidi" w:hAnsiTheme="majorBidi" w:cstheme="majorBidi"/>
          <w:color w:val="1F1F1F"/>
          <w:shd w:val="clear" w:color="auto" w:fill="FFFFFF"/>
        </w:rPr>
        <w:t>element of each charge</w:t>
      </w:r>
      <w:r w:rsidR="00A813D3" w:rsidRPr="004F223B">
        <w:rPr>
          <w:rFonts w:asciiTheme="majorBidi" w:hAnsiTheme="majorBidi" w:cstheme="majorBidi"/>
          <w:color w:val="1F1F1F"/>
          <w:shd w:val="clear" w:color="auto" w:fill="FFFFFF"/>
        </w:rPr>
        <w:t xml:space="preserve"> is </w:t>
      </w:r>
      <w:r w:rsidR="007B06C9">
        <w:rPr>
          <w:rFonts w:asciiTheme="majorBidi" w:hAnsiTheme="majorBidi" w:cstheme="majorBidi"/>
          <w:color w:val="1F1F1F"/>
          <w:shd w:val="clear" w:color="auto" w:fill="FFFFFF"/>
        </w:rPr>
        <w:t>an essential component to our adversarial system</w:t>
      </w:r>
      <w:r w:rsidR="00A813D3" w:rsidRPr="004F223B">
        <w:rPr>
          <w:rFonts w:asciiTheme="majorBidi" w:hAnsiTheme="majorBidi" w:cstheme="majorBidi"/>
          <w:color w:val="000000" w:themeColor="text1"/>
          <w:shd w:val="clear" w:color="auto" w:fill="FFFFFF"/>
        </w:rPr>
        <w:t xml:space="preserve">. </w:t>
      </w:r>
      <w:r w:rsidR="00A813D3" w:rsidRPr="004F223B">
        <w:rPr>
          <w:rFonts w:asciiTheme="majorBidi" w:hAnsiTheme="majorBidi" w:cstheme="majorBidi"/>
          <w:i/>
          <w:iCs/>
          <w:color w:val="000000" w:themeColor="text1"/>
          <w:shd w:val="clear" w:color="auto" w:fill="FFFFFF"/>
        </w:rPr>
        <w:t xml:space="preserve">See, e.g., </w:t>
      </w:r>
      <w:r w:rsidR="00A813D3" w:rsidRPr="004F223B">
        <w:rPr>
          <w:rFonts w:asciiTheme="majorBidi" w:hAnsiTheme="majorBidi" w:cstheme="majorBidi"/>
          <w:i/>
          <w:iCs/>
          <w:color w:val="000000" w:themeColor="text1"/>
          <w:bdr w:val="none" w:sz="0" w:space="0" w:color="auto" w:frame="1"/>
          <w:shd w:val="clear" w:color="auto" w:fill="FFFFFF"/>
        </w:rPr>
        <w:t>Ake v. Oklahoma</w:t>
      </w:r>
      <w:r w:rsidR="00A813D3" w:rsidRPr="004F223B">
        <w:rPr>
          <w:rFonts w:asciiTheme="majorBidi" w:hAnsiTheme="majorBidi" w:cstheme="majorBidi"/>
          <w:color w:val="000000" w:themeColor="text1"/>
          <w:shd w:val="clear" w:color="auto" w:fill="FFFFFF"/>
        </w:rPr>
        <w:t>, 470 U.S. 68</w:t>
      </w:r>
      <w:r w:rsidR="0058446B">
        <w:rPr>
          <w:rFonts w:asciiTheme="majorBidi" w:hAnsiTheme="majorBidi" w:cstheme="majorBidi"/>
          <w:color w:val="000000" w:themeColor="text1"/>
          <w:shd w:val="clear" w:color="auto" w:fill="FFFFFF"/>
        </w:rPr>
        <w:t>, 76</w:t>
      </w:r>
      <w:r w:rsidR="004F223B">
        <w:rPr>
          <w:rFonts w:asciiTheme="majorBidi" w:hAnsiTheme="majorBidi" w:cstheme="majorBidi"/>
          <w:color w:val="000000" w:themeColor="text1"/>
          <w:shd w:val="clear" w:color="auto" w:fill="FFFFFF"/>
        </w:rPr>
        <w:t xml:space="preserve"> </w:t>
      </w:r>
      <w:r w:rsidR="00A813D3" w:rsidRPr="004F223B">
        <w:rPr>
          <w:rFonts w:asciiTheme="majorBidi" w:hAnsiTheme="majorBidi" w:cstheme="majorBidi"/>
          <w:color w:val="000000" w:themeColor="text1"/>
          <w:shd w:val="clear" w:color="auto" w:fill="FFFFFF"/>
        </w:rPr>
        <w:t>(1985) (“</w:t>
      </w:r>
      <w:r w:rsidR="002F3ED6">
        <w:rPr>
          <w:rFonts w:asciiTheme="majorBidi" w:hAnsiTheme="majorBidi" w:cstheme="majorBidi"/>
          <w:color w:val="000000" w:themeColor="text1"/>
          <w:shd w:val="clear" w:color="auto" w:fill="FFFFFF"/>
        </w:rPr>
        <w:t>J</w:t>
      </w:r>
      <w:r w:rsidR="00A813D3" w:rsidRPr="004F223B">
        <w:rPr>
          <w:rFonts w:asciiTheme="majorBidi" w:hAnsiTheme="majorBidi" w:cstheme="majorBidi"/>
          <w:color w:val="000000" w:themeColor="text1"/>
          <w:shd w:val="clear" w:color="auto" w:fill="FFFFFF"/>
        </w:rPr>
        <w:t>ustice cannot be equal where, simply as a result of his poverty, a defendant is denied the opportunity to participate meaningfully in a judicial proceeding in which his liberty is at stake</w:t>
      </w:r>
      <w:r w:rsidR="000853BF">
        <w:rPr>
          <w:rFonts w:asciiTheme="majorBidi" w:hAnsiTheme="majorBidi" w:cstheme="majorBidi"/>
          <w:color w:val="000000" w:themeColor="text1"/>
          <w:shd w:val="clear" w:color="auto" w:fill="FFFFFF"/>
        </w:rPr>
        <w:t>.</w:t>
      </w:r>
      <w:r w:rsidR="00A813D3" w:rsidRPr="004F223B">
        <w:rPr>
          <w:rFonts w:asciiTheme="majorBidi" w:hAnsiTheme="majorBidi" w:cstheme="majorBidi"/>
          <w:color w:val="000000" w:themeColor="text1"/>
          <w:shd w:val="clear" w:color="auto" w:fill="FFFFFF"/>
        </w:rPr>
        <w:t>”)</w:t>
      </w:r>
      <w:r w:rsidR="007B06C9">
        <w:rPr>
          <w:rFonts w:asciiTheme="majorBidi" w:hAnsiTheme="majorBidi" w:cstheme="majorBidi"/>
          <w:color w:val="000000" w:themeColor="text1"/>
          <w:shd w:val="clear" w:color="auto" w:fill="FFFFFF"/>
        </w:rPr>
        <w:t xml:space="preserve">; </w:t>
      </w:r>
      <w:r w:rsidR="007B06C9" w:rsidRPr="00517429">
        <w:rPr>
          <w:rFonts w:asciiTheme="majorBidi" w:hAnsiTheme="majorBidi" w:cstheme="majorBidi"/>
          <w:i/>
          <w:iCs/>
          <w:color w:val="000000" w:themeColor="text1"/>
          <w:shd w:val="clear" w:color="auto" w:fill="FFFFFF"/>
        </w:rPr>
        <w:t>People v. Newman</w:t>
      </w:r>
      <w:r w:rsidR="007B06C9">
        <w:rPr>
          <w:rFonts w:asciiTheme="majorBidi" w:hAnsiTheme="majorBidi" w:cstheme="majorBidi"/>
          <w:color w:val="000000" w:themeColor="text1"/>
          <w:shd w:val="clear" w:color="auto" w:fill="FFFFFF"/>
        </w:rPr>
        <w:t>, 46 N.Y.2d 126, 128 (1978) (</w:t>
      </w:r>
      <w:r w:rsidR="00517429">
        <w:rPr>
          <w:rFonts w:asciiTheme="majorBidi" w:hAnsiTheme="majorBidi" w:cstheme="majorBidi"/>
          <w:color w:val="000000" w:themeColor="text1"/>
          <w:shd w:val="clear" w:color="auto" w:fill="FFFFFF"/>
        </w:rPr>
        <w:t xml:space="preserve">explaining that </w:t>
      </w:r>
      <w:r w:rsidR="007B06C9">
        <w:rPr>
          <w:rFonts w:asciiTheme="majorBidi" w:hAnsiTheme="majorBidi" w:cstheme="majorBidi"/>
          <w:color w:val="000000" w:themeColor="text1"/>
          <w:shd w:val="clear" w:color="auto" w:fill="FFFFFF"/>
        </w:rPr>
        <w:t>the government bears the burden of proving ever</w:t>
      </w:r>
      <w:r w:rsidR="00E138A4">
        <w:rPr>
          <w:rFonts w:asciiTheme="majorBidi" w:hAnsiTheme="majorBidi" w:cstheme="majorBidi"/>
          <w:color w:val="000000" w:themeColor="text1"/>
          <w:shd w:val="clear" w:color="auto" w:fill="FFFFFF"/>
        </w:rPr>
        <w:t>y</w:t>
      </w:r>
      <w:r w:rsidR="007B06C9">
        <w:rPr>
          <w:rFonts w:asciiTheme="majorBidi" w:hAnsiTheme="majorBidi" w:cstheme="majorBidi"/>
          <w:color w:val="000000" w:themeColor="text1"/>
          <w:shd w:val="clear" w:color="auto" w:fill="FFFFFF"/>
        </w:rPr>
        <w:t xml:space="preserve"> element of the charged offense beyond a reasonable doubt)</w:t>
      </w:r>
      <w:r w:rsidR="00A813D3" w:rsidRPr="004F223B">
        <w:rPr>
          <w:rFonts w:asciiTheme="majorBidi" w:hAnsiTheme="majorBidi" w:cstheme="majorBidi"/>
          <w:color w:val="000000" w:themeColor="text1"/>
          <w:shd w:val="clear" w:color="auto" w:fill="FFFFFF"/>
        </w:rPr>
        <w:t>.</w:t>
      </w:r>
      <w:r w:rsidR="00A813D3" w:rsidRPr="004F223B">
        <w:rPr>
          <w:rFonts w:ascii="Source Sans Pro" w:hAnsi="Source Sans Pro"/>
          <w:color w:val="000000" w:themeColor="text1"/>
          <w:shd w:val="clear" w:color="auto" w:fill="FFFFFF"/>
        </w:rPr>
        <w:t xml:space="preserve"> </w:t>
      </w:r>
      <w:r w:rsidR="00A813D3" w:rsidRPr="004F223B">
        <w:rPr>
          <w:color w:val="000000"/>
        </w:rPr>
        <w:t xml:space="preserve">Thus, </w:t>
      </w:r>
      <w:r w:rsidR="007B06C9">
        <w:rPr>
          <w:color w:val="000000"/>
        </w:rPr>
        <w:t>presenting expert testimony that would negate</w:t>
      </w:r>
      <w:r w:rsidR="007B06C9" w:rsidRPr="004F223B">
        <w:rPr>
          <w:color w:val="000000"/>
        </w:rPr>
        <w:t xml:space="preserve"> </w:t>
      </w:r>
      <w:r w:rsidR="004F223B" w:rsidRPr="004F223B">
        <w:rPr>
          <w:color w:val="000000"/>
        </w:rPr>
        <w:t>the second element of felony murder is part of [</w:t>
      </w:r>
      <w:r w:rsidR="004F223B" w:rsidRPr="002F3ED6">
        <w:rPr>
          <w:color w:val="000000"/>
          <w:highlight w:val="yellow"/>
        </w:rPr>
        <w:t>Client</w:t>
      </w:r>
      <w:r w:rsidR="004F223B" w:rsidRPr="004F223B">
        <w:rPr>
          <w:color w:val="000000"/>
        </w:rPr>
        <w:t xml:space="preserve">]’s </w:t>
      </w:r>
      <w:r w:rsidR="007B06C9">
        <w:rPr>
          <w:color w:val="000000"/>
        </w:rPr>
        <w:t>due process right</w:t>
      </w:r>
      <w:r w:rsidR="007B06C9" w:rsidRPr="004F223B">
        <w:rPr>
          <w:color w:val="000000"/>
        </w:rPr>
        <w:t xml:space="preserve"> </w:t>
      </w:r>
      <w:r w:rsidR="004F223B" w:rsidRPr="004F223B">
        <w:rPr>
          <w:color w:val="000000"/>
        </w:rPr>
        <w:t>to</w:t>
      </w:r>
      <w:r w:rsidR="002F3ED6">
        <w:rPr>
          <w:color w:val="000000"/>
        </w:rPr>
        <w:t xml:space="preserve"> </w:t>
      </w:r>
      <w:r w:rsidR="004F223B" w:rsidRPr="004F223B">
        <w:rPr>
          <w:color w:val="000000"/>
        </w:rPr>
        <w:t>present</w:t>
      </w:r>
      <w:r w:rsidR="007B06C9">
        <w:rPr>
          <w:color w:val="000000"/>
        </w:rPr>
        <w:t xml:space="preserve"> a</w:t>
      </w:r>
      <w:r w:rsidR="004F223B" w:rsidRPr="004F223B">
        <w:rPr>
          <w:color w:val="000000"/>
        </w:rPr>
        <w:t xml:space="preserve"> defense. </w:t>
      </w:r>
    </w:p>
    <w:p w14:paraId="004CC755" w14:textId="7097BBD9" w:rsidR="007B06C9" w:rsidRDefault="00822407" w:rsidP="00822407">
      <w:pPr>
        <w:spacing w:line="480" w:lineRule="auto"/>
        <w:ind w:firstLine="720"/>
        <w:jc w:val="both"/>
        <w:textAlignment w:val="baseline"/>
        <w:rPr>
          <w:rFonts w:ascii="Source Sans Pro" w:hAnsi="Source Sans Pro"/>
          <w:i/>
          <w:iCs/>
          <w:color w:val="1F1F1F"/>
          <w:shd w:val="clear" w:color="auto" w:fill="FFFFFF"/>
        </w:rPr>
      </w:pPr>
      <w:r>
        <w:rPr>
          <w:color w:val="000000"/>
        </w:rPr>
        <w:t xml:space="preserve">In the context of felony murder, </w:t>
      </w:r>
      <w:r w:rsidR="007B06C9">
        <w:rPr>
          <w:color w:val="000000"/>
        </w:rPr>
        <w:t xml:space="preserve">undermining </w:t>
      </w:r>
      <w:r>
        <w:rPr>
          <w:color w:val="000000"/>
        </w:rPr>
        <w:t xml:space="preserve">the accused’s ability to foresee the death is a </w:t>
      </w:r>
      <w:r w:rsidR="00045929">
        <w:rPr>
          <w:color w:val="000000"/>
        </w:rPr>
        <w:t>crucial</w:t>
      </w:r>
      <w:r>
        <w:rPr>
          <w:color w:val="000000"/>
        </w:rPr>
        <w:t xml:space="preserve"> part of defending against the second element. </w:t>
      </w:r>
      <w:r w:rsidR="00E87786" w:rsidRPr="004F223B">
        <w:rPr>
          <w:color w:val="000000"/>
        </w:rPr>
        <w:t xml:space="preserve">Courts have explicitly rejected </w:t>
      </w:r>
      <w:r w:rsidR="008A57EA" w:rsidRPr="004F223B">
        <w:rPr>
          <w:color w:val="000000"/>
        </w:rPr>
        <w:t>a narrow reading of</w:t>
      </w:r>
      <w:r w:rsidR="00E87786" w:rsidRPr="004F223B">
        <w:rPr>
          <w:color w:val="000000"/>
        </w:rPr>
        <w:t xml:space="preserve"> </w:t>
      </w:r>
      <w:r w:rsidR="00045929">
        <w:rPr>
          <w:color w:val="000000"/>
        </w:rPr>
        <w:t>this</w:t>
      </w:r>
      <w:r w:rsidR="00E87786" w:rsidRPr="004F223B">
        <w:rPr>
          <w:color w:val="000000"/>
        </w:rPr>
        <w:t xml:space="preserve"> “in furtherance</w:t>
      </w:r>
      <w:r w:rsidR="00E138A4">
        <w:rPr>
          <w:color w:val="000000"/>
        </w:rPr>
        <w:t xml:space="preserve"> of</w:t>
      </w:r>
      <w:r w:rsidR="00E87786" w:rsidRPr="004F223B">
        <w:rPr>
          <w:color w:val="000000"/>
        </w:rPr>
        <w:t xml:space="preserve">” element as requiring that the death advance or promote the underlying felony. </w:t>
      </w:r>
      <w:r w:rsidR="008A57EA" w:rsidRPr="004F223B">
        <w:rPr>
          <w:rFonts w:asciiTheme="majorBidi" w:hAnsiTheme="majorBidi" w:cstheme="majorBidi"/>
          <w:i/>
          <w:iCs/>
          <w:color w:val="000000" w:themeColor="text1"/>
        </w:rPr>
        <w:t xml:space="preserve">People v. </w:t>
      </w:r>
      <w:r w:rsidR="008A57EA" w:rsidRPr="00045929">
        <w:rPr>
          <w:rFonts w:asciiTheme="majorBidi" w:hAnsiTheme="majorBidi" w:cstheme="majorBidi"/>
          <w:i/>
          <w:iCs/>
          <w:color w:val="000000" w:themeColor="text1"/>
        </w:rPr>
        <w:t>Henderson</w:t>
      </w:r>
      <w:r w:rsidR="008A57EA" w:rsidRPr="004F223B">
        <w:rPr>
          <w:rFonts w:asciiTheme="majorBidi" w:hAnsiTheme="majorBidi" w:cstheme="majorBidi"/>
          <w:color w:val="000000" w:themeColor="text1"/>
        </w:rPr>
        <w:t>, 25 N</w:t>
      </w:r>
      <w:r w:rsidR="000853BF">
        <w:rPr>
          <w:rFonts w:asciiTheme="majorBidi" w:hAnsiTheme="majorBidi" w:cstheme="majorBidi"/>
          <w:color w:val="000000" w:themeColor="text1"/>
        </w:rPr>
        <w:t>.</w:t>
      </w:r>
      <w:r w:rsidR="008A57EA" w:rsidRPr="004F223B">
        <w:rPr>
          <w:rFonts w:asciiTheme="majorBidi" w:hAnsiTheme="majorBidi" w:cstheme="majorBidi"/>
          <w:color w:val="000000" w:themeColor="text1"/>
        </w:rPr>
        <w:t>Y</w:t>
      </w:r>
      <w:r w:rsidR="000853BF">
        <w:rPr>
          <w:rFonts w:asciiTheme="majorBidi" w:hAnsiTheme="majorBidi" w:cstheme="majorBidi"/>
          <w:color w:val="000000" w:themeColor="text1"/>
        </w:rPr>
        <w:t>.</w:t>
      </w:r>
      <w:r w:rsidR="008A57EA" w:rsidRPr="004F223B">
        <w:rPr>
          <w:rFonts w:asciiTheme="majorBidi" w:hAnsiTheme="majorBidi" w:cstheme="majorBidi"/>
          <w:color w:val="000000" w:themeColor="text1"/>
        </w:rPr>
        <w:t xml:space="preserve">3d 534, 541 (2015). </w:t>
      </w:r>
      <w:r w:rsidR="00E87786" w:rsidRPr="004F223B">
        <w:rPr>
          <w:color w:val="000000"/>
        </w:rPr>
        <w:t xml:space="preserve">Instead, it is interpreted </w:t>
      </w:r>
      <w:r w:rsidR="00E87786" w:rsidRPr="004F223B">
        <w:rPr>
          <w:color w:val="000000"/>
        </w:rPr>
        <w:lastRenderedPageBreak/>
        <w:t xml:space="preserve">broadly as just </w:t>
      </w:r>
      <w:r w:rsidR="00E87786" w:rsidRPr="004F223B">
        <w:rPr>
          <w:rFonts w:asciiTheme="majorBidi" w:hAnsiTheme="majorBidi" w:cstheme="majorBidi"/>
          <w:color w:val="000000" w:themeColor="text1"/>
        </w:rPr>
        <w:t>requiring a “logical nexus” between the death and the underlying felony</w:t>
      </w:r>
      <w:r w:rsidR="000853BF">
        <w:rPr>
          <w:rFonts w:asciiTheme="majorBidi" w:hAnsiTheme="majorBidi" w:cstheme="majorBidi"/>
          <w:color w:val="000000" w:themeColor="text1"/>
        </w:rPr>
        <w:t>, m</w:t>
      </w:r>
      <w:r w:rsidR="007B06C9">
        <w:rPr>
          <w:rFonts w:asciiTheme="majorBidi" w:hAnsiTheme="majorBidi" w:cstheme="majorBidi"/>
          <w:color w:val="000000" w:themeColor="text1"/>
        </w:rPr>
        <w:t>eaning only</w:t>
      </w:r>
      <w:r w:rsidR="007B06C9" w:rsidRPr="004F223B">
        <w:rPr>
          <w:rFonts w:asciiTheme="majorBidi" w:hAnsiTheme="majorBidi" w:cstheme="majorBidi"/>
          <w:color w:val="000000" w:themeColor="text1"/>
        </w:rPr>
        <w:t xml:space="preserve"> </w:t>
      </w:r>
      <w:r w:rsidR="00E87786" w:rsidRPr="004F223B">
        <w:rPr>
          <w:rFonts w:asciiTheme="majorBidi" w:hAnsiTheme="majorBidi" w:cstheme="majorBidi"/>
          <w:color w:val="000000" w:themeColor="text1"/>
        </w:rPr>
        <w:t>deaths that were</w:t>
      </w:r>
      <w:r w:rsidR="0000092C" w:rsidRPr="004F223B">
        <w:rPr>
          <w:rFonts w:asciiTheme="majorBidi" w:hAnsiTheme="majorBidi" w:cstheme="majorBidi"/>
          <w:color w:val="000000" w:themeColor="text1"/>
        </w:rPr>
        <w:t xml:space="preserve"> coincidental or accidental, done by another for a personal motive, or done by a bystander</w:t>
      </w:r>
      <w:r w:rsidR="007B06C9">
        <w:rPr>
          <w:rFonts w:asciiTheme="majorBidi" w:hAnsiTheme="majorBidi" w:cstheme="majorBidi"/>
          <w:color w:val="000000" w:themeColor="text1"/>
        </w:rPr>
        <w:t xml:space="preserve"> escape the purview of felony murder</w:t>
      </w:r>
      <w:r w:rsidR="0000092C" w:rsidRPr="004F223B">
        <w:rPr>
          <w:rFonts w:asciiTheme="majorBidi" w:hAnsiTheme="majorBidi" w:cstheme="majorBidi"/>
          <w:color w:val="000000" w:themeColor="text1"/>
        </w:rPr>
        <w:t>.</w:t>
      </w:r>
      <w:r w:rsidR="000853BF" w:rsidRPr="004F223B">
        <w:rPr>
          <w:rFonts w:asciiTheme="majorBidi" w:hAnsiTheme="majorBidi" w:cstheme="majorBidi"/>
          <w:color w:val="000000" w:themeColor="text1"/>
        </w:rPr>
        <w:t xml:space="preserve"> </w:t>
      </w:r>
      <w:r w:rsidR="000853BF" w:rsidRPr="004F223B">
        <w:rPr>
          <w:rFonts w:asciiTheme="majorBidi" w:hAnsiTheme="majorBidi" w:cstheme="majorBidi"/>
          <w:i/>
          <w:iCs/>
          <w:color w:val="000000" w:themeColor="text1"/>
        </w:rPr>
        <w:t>Id</w:t>
      </w:r>
      <w:r w:rsidR="000853BF" w:rsidRPr="004F223B">
        <w:rPr>
          <w:rFonts w:asciiTheme="majorBidi" w:hAnsiTheme="majorBidi" w:cstheme="majorBidi"/>
          <w:color w:val="000000" w:themeColor="text1"/>
        </w:rPr>
        <w:t>.</w:t>
      </w:r>
      <w:r w:rsidR="000853BF">
        <w:rPr>
          <w:rFonts w:asciiTheme="majorBidi" w:hAnsiTheme="majorBidi" w:cstheme="majorBidi"/>
          <w:color w:val="000000" w:themeColor="text1"/>
        </w:rPr>
        <w:t xml:space="preserve">; </w:t>
      </w:r>
      <w:r w:rsidR="0000092C" w:rsidRPr="004F223B">
        <w:rPr>
          <w:i/>
          <w:iCs/>
          <w:color w:val="000000" w:themeColor="text1"/>
        </w:rPr>
        <w:t>People v. Lewis</w:t>
      </w:r>
      <w:r w:rsidR="0000092C" w:rsidRPr="004F223B">
        <w:rPr>
          <w:color w:val="000000" w:themeColor="text1"/>
        </w:rPr>
        <w:t xml:space="preserve">, </w:t>
      </w:r>
      <w:r w:rsidR="0000092C" w:rsidRPr="004F223B">
        <w:rPr>
          <w:color w:val="3D3D3D"/>
          <w:shd w:val="clear" w:color="auto" w:fill="FFFFFF"/>
        </w:rPr>
        <w:t xml:space="preserve">444 N.Y.S.2d 1003 (1981). </w:t>
      </w:r>
      <w:r w:rsidR="00ED0125" w:rsidRPr="006A5888">
        <w:rPr>
          <w:color w:val="000000" w:themeColor="text1"/>
          <w:shd w:val="clear" w:color="auto" w:fill="FFFFFF"/>
        </w:rPr>
        <w:t xml:space="preserve">In </w:t>
      </w:r>
      <w:r w:rsidRPr="006A5888">
        <w:rPr>
          <w:color w:val="000000" w:themeColor="text1"/>
          <w:shd w:val="clear" w:color="auto" w:fill="FFFFFF"/>
        </w:rPr>
        <w:t xml:space="preserve">all </w:t>
      </w:r>
      <w:r w:rsidR="00ED0125" w:rsidRPr="006A5888">
        <w:rPr>
          <w:color w:val="000000" w:themeColor="text1"/>
          <w:shd w:val="clear" w:color="auto" w:fill="FFFFFF"/>
        </w:rPr>
        <w:t xml:space="preserve">other </w:t>
      </w:r>
      <w:r w:rsidRPr="006A5888">
        <w:rPr>
          <w:color w:val="000000" w:themeColor="text1"/>
          <w:shd w:val="clear" w:color="auto" w:fill="FFFFFF"/>
        </w:rPr>
        <w:t>instances</w:t>
      </w:r>
      <w:r w:rsidR="00ED0125" w:rsidRPr="006A5888">
        <w:rPr>
          <w:color w:val="000000" w:themeColor="text1"/>
          <w:shd w:val="clear" w:color="auto" w:fill="FFFFFF"/>
        </w:rPr>
        <w:t xml:space="preserve">, </w:t>
      </w:r>
      <w:r w:rsidR="008A57EA" w:rsidRPr="006A5888">
        <w:rPr>
          <w:color w:val="000000" w:themeColor="text1"/>
          <w:shd w:val="clear" w:color="auto" w:fill="FFFFFF"/>
        </w:rPr>
        <w:t xml:space="preserve">New York’s </w:t>
      </w:r>
      <w:r w:rsidR="00ED0125" w:rsidRPr="006A5888">
        <w:rPr>
          <w:color w:val="000000" w:themeColor="text1"/>
          <w:shd w:val="clear" w:color="auto" w:fill="FFFFFF"/>
        </w:rPr>
        <w:t xml:space="preserve">“felony murder </w:t>
      </w:r>
      <w:r w:rsidR="00ED0125" w:rsidRPr="004F223B">
        <w:rPr>
          <w:color w:val="1F1F1F"/>
          <w:shd w:val="clear" w:color="auto" w:fill="FFFFFF"/>
        </w:rPr>
        <w:t xml:space="preserve">rule operates under the fiction of transferred intent. Even when an individual does not intend to kill, when a death occurs </w:t>
      </w:r>
      <w:proofErr w:type="gramStart"/>
      <w:r w:rsidR="00ED0125" w:rsidRPr="004F223B">
        <w:rPr>
          <w:color w:val="1F1F1F"/>
          <w:shd w:val="clear" w:color="auto" w:fill="FFFFFF"/>
        </w:rPr>
        <w:t>in the course of</w:t>
      </w:r>
      <w:proofErr w:type="gramEnd"/>
      <w:r w:rsidR="00ED0125" w:rsidRPr="004F223B">
        <w:rPr>
          <w:color w:val="1F1F1F"/>
          <w:shd w:val="clear" w:color="auto" w:fill="FFFFFF"/>
        </w:rPr>
        <w:t xml:space="preserve"> a felony, intent to perpetrate a felony is transferred to the homicide.” </w:t>
      </w:r>
      <w:r w:rsidR="00ED0125" w:rsidRPr="004F223B">
        <w:rPr>
          <w:i/>
          <w:iCs/>
          <w:color w:val="1F1F1F"/>
          <w:shd w:val="clear" w:color="auto" w:fill="FFFFFF"/>
        </w:rPr>
        <w:t>Id.</w:t>
      </w:r>
      <w:r w:rsidR="000853BF">
        <w:rPr>
          <w:color w:val="1F1F1F"/>
          <w:shd w:val="clear" w:color="auto" w:fill="FFFFFF"/>
        </w:rPr>
        <w:t xml:space="preserve"> at 1005.</w:t>
      </w:r>
      <w:r w:rsidR="00ED0125" w:rsidRPr="004F223B">
        <w:rPr>
          <w:rFonts w:ascii="Source Sans Pro" w:hAnsi="Source Sans Pro"/>
          <w:i/>
          <w:iCs/>
          <w:color w:val="1F1F1F"/>
          <w:shd w:val="clear" w:color="auto" w:fill="FFFFFF"/>
        </w:rPr>
        <w:t xml:space="preserve"> </w:t>
      </w:r>
    </w:p>
    <w:p w14:paraId="4CBEFD5E" w14:textId="70B4BA55" w:rsidR="00D54D3F" w:rsidRDefault="00D54D3F" w:rsidP="00822407">
      <w:pPr>
        <w:spacing w:line="480" w:lineRule="auto"/>
        <w:ind w:firstLine="720"/>
        <w:jc w:val="both"/>
        <w:textAlignment w:val="baseline"/>
        <w:rPr>
          <w:color w:val="000000"/>
        </w:rPr>
      </w:pPr>
      <w:r w:rsidRPr="004F223B">
        <w:rPr>
          <w:color w:val="000000"/>
        </w:rPr>
        <w:t>Foreseeability</w:t>
      </w:r>
      <w:r w:rsidR="007B06C9">
        <w:rPr>
          <w:color w:val="000000"/>
        </w:rPr>
        <w:t xml:space="preserve">, therefore, </w:t>
      </w:r>
      <w:r w:rsidRPr="004F223B">
        <w:rPr>
          <w:color w:val="000000"/>
        </w:rPr>
        <w:t xml:space="preserve">plays a key role in determining </w:t>
      </w:r>
      <w:r w:rsidR="008A57EA" w:rsidRPr="004F223B">
        <w:rPr>
          <w:color w:val="000000"/>
        </w:rPr>
        <w:t>whether a logical nexus exists between the death and the underlying felony such that transferred intent applies</w:t>
      </w:r>
      <w:r w:rsidRPr="004F223B">
        <w:rPr>
          <w:color w:val="000000"/>
        </w:rPr>
        <w:t>.</w:t>
      </w:r>
      <w:r w:rsidR="00ED0125" w:rsidRPr="004F223B">
        <w:rPr>
          <w:color w:val="000000"/>
        </w:rPr>
        <w:t xml:space="preserve"> </w:t>
      </w:r>
      <w:r w:rsidR="008A57EA" w:rsidRPr="004F223B">
        <w:rPr>
          <w:color w:val="000000"/>
        </w:rPr>
        <w:t>For example, in</w:t>
      </w:r>
      <w:r w:rsidR="00ED0125" w:rsidRPr="004F223B">
        <w:rPr>
          <w:color w:val="000000"/>
        </w:rPr>
        <w:t xml:space="preserve"> finding the accused culpable of felony murder, the court in </w:t>
      </w:r>
      <w:r w:rsidR="00ED0125" w:rsidRPr="004F223B">
        <w:rPr>
          <w:i/>
          <w:iCs/>
          <w:color w:val="000000"/>
        </w:rPr>
        <w:t xml:space="preserve">People v. Stokes </w:t>
      </w:r>
      <w:r w:rsidR="00ED0125" w:rsidRPr="004F223B">
        <w:rPr>
          <w:color w:val="000000"/>
        </w:rPr>
        <w:t>described the decedent’s death</w:t>
      </w:r>
      <w:r w:rsidR="007B06C9">
        <w:rPr>
          <w:color w:val="000000"/>
        </w:rPr>
        <w:t>, from a car accident during flight from the robbery,</w:t>
      </w:r>
      <w:r w:rsidR="00ED0125" w:rsidRPr="004F223B">
        <w:rPr>
          <w:color w:val="000000"/>
        </w:rPr>
        <w:t xml:space="preserve"> as the </w:t>
      </w:r>
      <w:r w:rsidR="009C4346" w:rsidRPr="004F223B">
        <w:rPr>
          <w:color w:val="000000"/>
        </w:rPr>
        <w:t>“</w:t>
      </w:r>
      <w:r w:rsidR="00ED0125" w:rsidRPr="004F223B">
        <w:rPr>
          <w:color w:val="00172E"/>
        </w:rPr>
        <w:t xml:space="preserve">reasonably foreseeable consequence” of defendant’s conduct. 88 N.Y.2d 618, 627 (1996). </w:t>
      </w:r>
      <w:r w:rsidR="009C4346" w:rsidRPr="004F223B">
        <w:rPr>
          <w:color w:val="00172E"/>
        </w:rPr>
        <w:t xml:space="preserve">Similarly, the court in </w:t>
      </w:r>
      <w:r w:rsidR="009C4346" w:rsidRPr="004F223B">
        <w:rPr>
          <w:i/>
          <w:iCs/>
          <w:color w:val="000000"/>
        </w:rPr>
        <w:t>People v. Davis</w:t>
      </w:r>
      <w:r w:rsidR="009C4346" w:rsidRPr="004F223B">
        <w:rPr>
          <w:color w:val="000000"/>
        </w:rPr>
        <w:t xml:space="preserve"> required the </w:t>
      </w:r>
      <w:r w:rsidR="007B06C9">
        <w:rPr>
          <w:color w:val="000000"/>
        </w:rPr>
        <w:t>government</w:t>
      </w:r>
      <w:r w:rsidR="007B06C9" w:rsidRPr="004F223B">
        <w:rPr>
          <w:color w:val="000000"/>
        </w:rPr>
        <w:t xml:space="preserve"> </w:t>
      </w:r>
      <w:r w:rsidR="009C4346" w:rsidRPr="004F223B">
        <w:rPr>
          <w:color w:val="000000"/>
        </w:rPr>
        <w:t xml:space="preserve">to show that the “actual contributory cause of the victim's death and that the victim's death, induced by the stress of the violent event, was a reasonably foreseeable result of defendant's conduct” </w:t>
      </w:r>
      <w:r w:rsidR="00E138A4">
        <w:rPr>
          <w:color w:val="000000"/>
        </w:rPr>
        <w:t xml:space="preserve">when </w:t>
      </w:r>
      <w:r w:rsidR="007B06C9">
        <w:rPr>
          <w:color w:val="000000"/>
        </w:rPr>
        <w:t xml:space="preserve">the deceased died from hypertensive cardio vascular disease that was hastened by the stress of the robbery. </w:t>
      </w:r>
      <w:r w:rsidR="009C4346" w:rsidRPr="004F223B">
        <w:rPr>
          <w:color w:val="000000"/>
        </w:rPr>
        <w:t>28 N.Y.3d 294, 296-97 (2016)</w:t>
      </w:r>
      <w:r w:rsidR="00A813D3" w:rsidRPr="004F223B">
        <w:rPr>
          <w:color w:val="000000"/>
        </w:rPr>
        <w:t xml:space="preserve">. </w:t>
      </w:r>
      <w:r w:rsidR="00822407">
        <w:rPr>
          <w:color w:val="000000"/>
        </w:rPr>
        <w:t xml:space="preserve">Since courts </w:t>
      </w:r>
      <w:r w:rsidR="00E138A4">
        <w:rPr>
          <w:color w:val="000000"/>
        </w:rPr>
        <w:t xml:space="preserve">interpret </w:t>
      </w:r>
      <w:r w:rsidR="00822407">
        <w:rPr>
          <w:color w:val="000000"/>
        </w:rPr>
        <w:t xml:space="preserve">the second element of felony murder </w:t>
      </w:r>
      <w:r w:rsidR="00E138A4">
        <w:rPr>
          <w:color w:val="000000"/>
        </w:rPr>
        <w:t xml:space="preserve">to </w:t>
      </w:r>
      <w:r w:rsidR="00822407">
        <w:rPr>
          <w:color w:val="000000"/>
        </w:rPr>
        <w:t>incorporat</w:t>
      </w:r>
      <w:r w:rsidR="00E138A4">
        <w:rPr>
          <w:color w:val="000000"/>
        </w:rPr>
        <w:t>e</w:t>
      </w:r>
      <w:r w:rsidR="00822407">
        <w:rPr>
          <w:color w:val="000000"/>
        </w:rPr>
        <w:t xml:space="preserve"> foreseeability, [</w:t>
      </w:r>
      <w:r w:rsidR="00822407" w:rsidRPr="00822407">
        <w:rPr>
          <w:color w:val="000000"/>
          <w:highlight w:val="yellow"/>
        </w:rPr>
        <w:t>Client</w:t>
      </w:r>
      <w:r w:rsidR="00822407">
        <w:rPr>
          <w:color w:val="000000"/>
        </w:rPr>
        <w:t xml:space="preserve">] is entitled to an </w:t>
      </w:r>
      <w:r w:rsidR="00822407" w:rsidRPr="00AB3249">
        <w:rPr>
          <w:i/>
          <w:iCs/>
          <w:color w:val="000000"/>
        </w:rPr>
        <w:t xml:space="preserve">ex </w:t>
      </w:r>
      <w:proofErr w:type="spellStart"/>
      <w:r w:rsidR="00822407" w:rsidRPr="00AB3249">
        <w:rPr>
          <w:i/>
          <w:iCs/>
          <w:color w:val="000000"/>
        </w:rPr>
        <w:t>parte</w:t>
      </w:r>
      <w:proofErr w:type="spellEnd"/>
      <w:r w:rsidR="00822407">
        <w:rPr>
          <w:color w:val="000000"/>
        </w:rPr>
        <w:t xml:space="preserve"> hearing on the necessity of presenting an expert who can testify to [</w:t>
      </w:r>
      <w:r w:rsidR="00822407" w:rsidRPr="00822407">
        <w:rPr>
          <w:color w:val="000000"/>
          <w:highlight w:val="yellow"/>
        </w:rPr>
        <w:t>his/her/their</w:t>
      </w:r>
      <w:r w:rsidR="00822407">
        <w:rPr>
          <w:color w:val="000000"/>
        </w:rPr>
        <w:t>] diminished capacity to foresee</w:t>
      </w:r>
      <w:r w:rsidR="00964EB6">
        <w:rPr>
          <w:color w:val="000000"/>
        </w:rPr>
        <w:t xml:space="preserve"> and assess</w:t>
      </w:r>
      <w:r w:rsidR="00822407">
        <w:rPr>
          <w:color w:val="000000"/>
        </w:rPr>
        <w:t xml:space="preserve"> consequences.  </w:t>
      </w:r>
    </w:p>
    <w:p w14:paraId="7C2958F2" w14:textId="381D23FA" w:rsidR="00C4131E" w:rsidRPr="004F223B" w:rsidRDefault="00915334" w:rsidP="007107A4">
      <w:pPr>
        <w:pStyle w:val="ListParagraph"/>
        <w:numPr>
          <w:ilvl w:val="0"/>
          <w:numId w:val="33"/>
        </w:numPr>
        <w:rPr>
          <w:b/>
          <w:bCs/>
        </w:rPr>
      </w:pPr>
      <w:r>
        <w:rPr>
          <w:b/>
          <w:bCs/>
        </w:rPr>
        <w:t xml:space="preserve">Juvenile </w:t>
      </w:r>
      <w:r w:rsidR="00E138A4">
        <w:rPr>
          <w:b/>
          <w:bCs/>
        </w:rPr>
        <w:t>b</w:t>
      </w:r>
      <w:r w:rsidR="00E138A4" w:rsidRPr="004F223B">
        <w:rPr>
          <w:b/>
          <w:bCs/>
        </w:rPr>
        <w:t xml:space="preserve">rain </w:t>
      </w:r>
      <w:r w:rsidR="00E138A4">
        <w:rPr>
          <w:b/>
          <w:bCs/>
        </w:rPr>
        <w:t>s</w:t>
      </w:r>
      <w:r w:rsidR="00E138A4" w:rsidRPr="004F223B">
        <w:rPr>
          <w:b/>
          <w:bCs/>
        </w:rPr>
        <w:t xml:space="preserve">cience </w:t>
      </w:r>
      <w:r w:rsidR="00E138A4">
        <w:rPr>
          <w:b/>
          <w:bCs/>
        </w:rPr>
        <w:t>s</w:t>
      </w:r>
      <w:r w:rsidR="00E138A4" w:rsidRPr="004F223B">
        <w:rPr>
          <w:b/>
          <w:bCs/>
        </w:rPr>
        <w:t xml:space="preserve">upports </w:t>
      </w:r>
      <w:r w:rsidR="00C4131E" w:rsidRPr="004F223B">
        <w:rPr>
          <w:b/>
          <w:bCs/>
        </w:rPr>
        <w:t>diminished ability to foresee consequences</w:t>
      </w:r>
      <w:r w:rsidR="00C4131E" w:rsidRPr="004F223B">
        <w:t>. </w:t>
      </w:r>
    </w:p>
    <w:p w14:paraId="0C1D7BA0" w14:textId="77777777" w:rsidR="005404D0" w:rsidRPr="004F223B" w:rsidRDefault="005404D0" w:rsidP="005404D0">
      <w:pPr>
        <w:textAlignment w:val="baseline"/>
        <w:rPr>
          <w:color w:val="000000"/>
        </w:rPr>
      </w:pPr>
    </w:p>
    <w:p w14:paraId="7D1060DB" w14:textId="476D30B9" w:rsidR="00C4131E" w:rsidRPr="004F223B" w:rsidRDefault="00C4131E" w:rsidP="005404D0">
      <w:pPr>
        <w:spacing w:line="480" w:lineRule="auto"/>
        <w:ind w:firstLine="720"/>
        <w:jc w:val="both"/>
        <w:textAlignment w:val="baseline"/>
        <w:rPr>
          <w:color w:val="000000"/>
        </w:rPr>
      </w:pPr>
      <w:r w:rsidRPr="004F223B">
        <w:rPr>
          <w:color w:val="000000"/>
        </w:rPr>
        <w:t>Both Federal and New York State Courts recognize that juveniles differ from adults in numerous areas that are critically relevant to the criminal legal system. </w:t>
      </w:r>
      <w:r w:rsidR="005404D0" w:rsidRPr="004F223B">
        <w:rPr>
          <w:i/>
          <w:iCs/>
          <w:color w:val="000000"/>
        </w:rPr>
        <w:t xml:space="preserve">See </w:t>
      </w:r>
      <w:r w:rsidRPr="004F223B">
        <w:rPr>
          <w:i/>
          <w:iCs/>
          <w:color w:val="000000"/>
        </w:rPr>
        <w:t>People v. Rudolph</w:t>
      </w:r>
      <w:r w:rsidRPr="004F223B">
        <w:rPr>
          <w:color w:val="000000"/>
        </w:rPr>
        <w:t>, 21 N.Y.3d 497, 506</w:t>
      </w:r>
      <w:r w:rsidR="00045929">
        <w:rPr>
          <w:color w:val="000000"/>
        </w:rPr>
        <w:t xml:space="preserve"> (2013) </w:t>
      </w:r>
      <w:r w:rsidRPr="004F223B">
        <w:rPr>
          <w:color w:val="000000"/>
        </w:rPr>
        <w:t xml:space="preserve">(“Young people who find themselves in the criminal courts are not comparable to adults in many respects—and our jurisprudence should reflect that fact.”). One of </w:t>
      </w:r>
      <w:r w:rsidRPr="004F223B">
        <w:rPr>
          <w:color w:val="000000"/>
        </w:rPr>
        <w:lastRenderedPageBreak/>
        <w:t xml:space="preserve">these areas is in the realm of adolescent brain development, which </w:t>
      </w:r>
      <w:r w:rsidR="007B06C9">
        <w:rPr>
          <w:color w:val="000000"/>
        </w:rPr>
        <w:t>demonstrates</w:t>
      </w:r>
      <w:r w:rsidR="007B06C9" w:rsidRPr="004F223B">
        <w:rPr>
          <w:color w:val="000000"/>
        </w:rPr>
        <w:t xml:space="preserve"> </w:t>
      </w:r>
      <w:r w:rsidRPr="004F223B">
        <w:rPr>
          <w:color w:val="000000"/>
        </w:rPr>
        <w:t>that juveniles are less equipped to foresee the consequences of their actions as required by New York’s felony murder law. </w:t>
      </w:r>
    </w:p>
    <w:p w14:paraId="623D830E" w14:textId="080E58EA" w:rsidR="00C4131E" w:rsidRPr="004F223B" w:rsidRDefault="00C4131E" w:rsidP="00C4131E">
      <w:pPr>
        <w:numPr>
          <w:ilvl w:val="1"/>
          <w:numId w:val="7"/>
        </w:numPr>
        <w:textAlignment w:val="baseline"/>
        <w:rPr>
          <w:b/>
          <w:bCs/>
          <w:color w:val="000000"/>
        </w:rPr>
      </w:pPr>
      <w:r w:rsidRPr="004F223B">
        <w:rPr>
          <w:i/>
          <w:iCs/>
          <w:color w:val="000000"/>
        </w:rPr>
        <w:t xml:space="preserve">Juveniles have underdeveloped prefrontal cortexes, making them less capable </w:t>
      </w:r>
      <w:r w:rsidR="000853BF">
        <w:rPr>
          <w:i/>
          <w:iCs/>
          <w:color w:val="000000"/>
        </w:rPr>
        <w:t>of</w:t>
      </w:r>
      <w:r w:rsidR="000853BF" w:rsidRPr="004F223B">
        <w:rPr>
          <w:i/>
          <w:iCs/>
          <w:color w:val="000000"/>
        </w:rPr>
        <w:t xml:space="preserve"> </w:t>
      </w:r>
      <w:r w:rsidRPr="004F223B">
        <w:rPr>
          <w:i/>
          <w:iCs/>
          <w:color w:val="000000"/>
        </w:rPr>
        <w:t>decision-making, impulse control, and planning</w:t>
      </w:r>
      <w:r w:rsidR="005404D0" w:rsidRPr="004F223B">
        <w:rPr>
          <w:i/>
          <w:iCs/>
          <w:color w:val="000000"/>
        </w:rPr>
        <w:t xml:space="preserve">. </w:t>
      </w:r>
    </w:p>
    <w:p w14:paraId="68B6FF7E" w14:textId="77777777" w:rsidR="005404D0" w:rsidRPr="004F223B" w:rsidRDefault="005404D0" w:rsidP="005404D0">
      <w:pPr>
        <w:textAlignment w:val="baseline"/>
        <w:rPr>
          <w:b/>
          <w:bCs/>
          <w:color w:val="000000"/>
        </w:rPr>
      </w:pPr>
    </w:p>
    <w:p w14:paraId="36D0B3A4" w14:textId="25007065" w:rsidR="003B4806" w:rsidRDefault="00F15D05" w:rsidP="00D63BE3">
      <w:pPr>
        <w:spacing w:line="480" w:lineRule="auto"/>
        <w:ind w:firstLine="720"/>
        <w:jc w:val="both"/>
        <w:textAlignment w:val="baseline"/>
        <w:rPr>
          <w:rFonts w:asciiTheme="majorBidi" w:hAnsiTheme="majorBidi" w:cstheme="majorBidi"/>
          <w:color w:val="000000" w:themeColor="text1"/>
          <w:shd w:val="clear" w:color="auto" w:fill="FFFFFF"/>
        </w:rPr>
      </w:pPr>
      <w:r>
        <w:rPr>
          <w:color w:val="000000"/>
        </w:rPr>
        <w:t>Courts have long been aware that y</w:t>
      </w:r>
      <w:r w:rsidR="00AE43EF">
        <w:rPr>
          <w:color w:val="000000"/>
        </w:rPr>
        <w:t>oung</w:t>
      </w:r>
      <w:r w:rsidR="00C4131E" w:rsidRPr="003F4A63">
        <w:rPr>
          <w:color w:val="000000"/>
        </w:rPr>
        <w:t xml:space="preserve"> people possess "an underdeveloped sense of responsibility"</w:t>
      </w:r>
      <w:r w:rsidR="00AE43EF">
        <w:rPr>
          <w:color w:val="000000"/>
        </w:rPr>
        <w:t xml:space="preserve"> compared with adults,</w:t>
      </w:r>
      <w:r w:rsidR="00C4131E" w:rsidRPr="003F4A63">
        <w:rPr>
          <w:color w:val="000000"/>
        </w:rPr>
        <w:t xml:space="preserve"> which can "result in impetuous and ill-considered actions and decisions</w:t>
      </w:r>
      <w:r w:rsidR="00AE43EF">
        <w:rPr>
          <w:color w:val="000000"/>
        </w:rPr>
        <w:t>.</w:t>
      </w:r>
      <w:r w:rsidR="00C4131E" w:rsidRPr="003F4A63">
        <w:rPr>
          <w:color w:val="000000"/>
        </w:rPr>
        <w:t>"</w:t>
      </w:r>
      <w:r w:rsidR="00933905">
        <w:rPr>
          <w:color w:val="000000"/>
        </w:rPr>
        <w:t xml:space="preserve"> </w:t>
      </w:r>
      <w:r w:rsidR="00C4131E" w:rsidRPr="003F4A63">
        <w:rPr>
          <w:i/>
          <w:iCs/>
          <w:color w:val="000000"/>
        </w:rPr>
        <w:t>Johnson v</w:t>
      </w:r>
      <w:r w:rsidR="003B6737">
        <w:rPr>
          <w:i/>
          <w:iCs/>
          <w:color w:val="000000"/>
        </w:rPr>
        <w:t>.</w:t>
      </w:r>
      <w:r w:rsidR="00C4131E" w:rsidRPr="003F4A63">
        <w:rPr>
          <w:i/>
          <w:iCs/>
          <w:color w:val="000000"/>
        </w:rPr>
        <w:t xml:space="preserve"> Texas</w:t>
      </w:r>
      <w:r w:rsidR="00C4131E" w:rsidRPr="003F4A63">
        <w:rPr>
          <w:color w:val="000000"/>
        </w:rPr>
        <w:t>, 509 U</w:t>
      </w:r>
      <w:r w:rsidR="007D5BF7">
        <w:rPr>
          <w:color w:val="000000"/>
        </w:rPr>
        <w:t>.</w:t>
      </w:r>
      <w:r w:rsidR="00C4131E" w:rsidRPr="003F4A63">
        <w:rPr>
          <w:color w:val="000000"/>
        </w:rPr>
        <w:t>S</w:t>
      </w:r>
      <w:r w:rsidR="007D5BF7">
        <w:rPr>
          <w:color w:val="000000"/>
        </w:rPr>
        <w:t>.</w:t>
      </w:r>
      <w:r w:rsidR="00C4131E" w:rsidRPr="003F4A63">
        <w:rPr>
          <w:color w:val="000000"/>
        </w:rPr>
        <w:t xml:space="preserve"> 350</w:t>
      </w:r>
      <w:r w:rsidR="00045929">
        <w:rPr>
          <w:color w:val="000000"/>
        </w:rPr>
        <w:t>, 357</w:t>
      </w:r>
      <w:r w:rsidR="00C4131E" w:rsidRPr="003F4A63">
        <w:rPr>
          <w:color w:val="000000"/>
        </w:rPr>
        <w:t xml:space="preserve"> </w:t>
      </w:r>
      <w:r w:rsidR="003B6737">
        <w:rPr>
          <w:color w:val="000000"/>
        </w:rPr>
        <w:t>(</w:t>
      </w:r>
      <w:r w:rsidR="00C4131E" w:rsidRPr="003F4A63">
        <w:rPr>
          <w:color w:val="000000"/>
        </w:rPr>
        <w:t>1993</w:t>
      </w:r>
      <w:r w:rsidR="003B6737">
        <w:rPr>
          <w:color w:val="000000"/>
        </w:rPr>
        <w:t>)</w:t>
      </w:r>
      <w:r w:rsidR="00C4131E" w:rsidRPr="003F4A63">
        <w:rPr>
          <w:color w:val="000000"/>
        </w:rPr>
        <w:t>. </w:t>
      </w:r>
      <w:r w:rsidR="002B72B7">
        <w:rPr>
          <w:rStyle w:val="Strong"/>
          <w:rFonts w:asciiTheme="majorBidi" w:hAnsiTheme="majorBidi" w:cstheme="majorBidi"/>
          <w:b w:val="0"/>
          <w:bCs w:val="0"/>
          <w:color w:val="000000" w:themeColor="text1"/>
          <w:shd w:val="clear" w:color="auto" w:fill="FFFFFF"/>
        </w:rPr>
        <w:t xml:space="preserve">One biological reason for this difference is </w:t>
      </w:r>
      <w:r w:rsidR="001E13E9">
        <w:rPr>
          <w:rStyle w:val="Strong"/>
          <w:rFonts w:asciiTheme="majorBidi" w:hAnsiTheme="majorBidi" w:cstheme="majorBidi"/>
          <w:b w:val="0"/>
          <w:bCs w:val="0"/>
          <w:color w:val="000000" w:themeColor="text1"/>
          <w:shd w:val="clear" w:color="auto" w:fill="FFFFFF"/>
        </w:rPr>
        <w:t>lagged structural development of the prefrontal cortex</w:t>
      </w:r>
      <w:r w:rsidR="002B72B7">
        <w:rPr>
          <w:rStyle w:val="Strong"/>
          <w:rFonts w:asciiTheme="majorBidi" w:hAnsiTheme="majorBidi" w:cstheme="majorBidi"/>
          <w:b w:val="0"/>
          <w:bCs w:val="0"/>
          <w:color w:val="000000" w:themeColor="text1"/>
          <w:shd w:val="clear" w:color="auto" w:fill="FFFFFF"/>
        </w:rPr>
        <w:t>.</w:t>
      </w:r>
      <w:r w:rsidR="005A4D51">
        <w:rPr>
          <w:rFonts w:asciiTheme="majorBidi" w:hAnsiTheme="majorBidi" w:cstheme="majorBidi"/>
          <w:color w:val="000000" w:themeColor="text1"/>
          <w:shd w:val="clear" w:color="auto" w:fill="FFFFFF"/>
        </w:rPr>
        <w:t xml:space="preserve"> </w:t>
      </w:r>
      <w:r w:rsidR="002B72B7">
        <w:rPr>
          <w:rFonts w:asciiTheme="majorBidi" w:hAnsiTheme="majorBidi" w:cstheme="majorBidi"/>
          <w:color w:val="000000" w:themeColor="text1"/>
          <w:shd w:val="clear" w:color="auto" w:fill="FFFFFF"/>
        </w:rPr>
        <w:t xml:space="preserve">Among other tasks, the </w:t>
      </w:r>
      <w:r w:rsidR="00045929">
        <w:rPr>
          <w:rFonts w:asciiTheme="majorBidi" w:hAnsiTheme="majorBidi" w:cstheme="majorBidi"/>
          <w:color w:val="000000" w:themeColor="text1"/>
          <w:shd w:val="clear" w:color="auto" w:fill="FFFFFF"/>
        </w:rPr>
        <w:t>prefrontal cortex</w:t>
      </w:r>
      <w:r w:rsidR="002B72B7">
        <w:rPr>
          <w:rFonts w:asciiTheme="majorBidi" w:hAnsiTheme="majorBidi" w:cstheme="majorBidi"/>
          <w:color w:val="000000" w:themeColor="text1"/>
          <w:shd w:val="clear" w:color="auto" w:fill="FFFFFF"/>
        </w:rPr>
        <w:t xml:space="preserve"> is essential for impulse control and decision-making in complex situations. </w:t>
      </w:r>
      <w:r w:rsidR="001E13E9">
        <w:rPr>
          <w:rFonts w:asciiTheme="majorBidi" w:hAnsiTheme="majorBidi" w:cstheme="majorBidi"/>
          <w:color w:val="000000" w:themeColor="text1"/>
          <w:shd w:val="clear" w:color="auto" w:fill="FFFFFF"/>
        </w:rPr>
        <w:t xml:space="preserve">Catherine A. Hartley &amp; Leah H. Somerville, </w:t>
      </w:r>
      <w:hyperlink r:id="rId13" w:history="1">
        <w:r w:rsidR="001E13E9" w:rsidRPr="001E13E9">
          <w:rPr>
            <w:rStyle w:val="Hyperlink"/>
            <w:rFonts w:asciiTheme="majorBidi" w:hAnsiTheme="majorBidi" w:cstheme="majorBidi"/>
            <w:i/>
            <w:iCs/>
            <w:shd w:val="clear" w:color="auto" w:fill="FFFFFF"/>
          </w:rPr>
          <w:t>The Neuroscience of Adolescent Decision-Making</w:t>
        </w:r>
      </w:hyperlink>
      <w:r w:rsidR="001E13E9">
        <w:rPr>
          <w:rFonts w:asciiTheme="majorBidi" w:hAnsiTheme="majorBidi" w:cstheme="majorBidi"/>
          <w:color w:val="000000" w:themeColor="text1"/>
          <w:shd w:val="clear" w:color="auto" w:fill="FFFFFF"/>
        </w:rPr>
        <w:t xml:space="preserve">, </w:t>
      </w:r>
      <w:r w:rsidR="001E13E9" w:rsidRPr="001E13E9">
        <w:rPr>
          <w:rFonts w:asciiTheme="majorBidi" w:hAnsiTheme="majorBidi" w:cstheme="majorBidi"/>
          <w:smallCaps/>
          <w:color w:val="000000" w:themeColor="text1"/>
          <w:shd w:val="clear" w:color="auto" w:fill="FFFFFF"/>
        </w:rPr>
        <w:t>Current Opinion in Behavioral Sciences</w:t>
      </w:r>
      <w:r w:rsidR="001E13E9">
        <w:rPr>
          <w:rFonts w:asciiTheme="majorBidi" w:hAnsiTheme="majorBidi" w:cstheme="majorBidi"/>
          <w:color w:val="000000" w:themeColor="text1"/>
          <w:shd w:val="clear" w:color="auto" w:fill="FFFFFF"/>
        </w:rPr>
        <w:t xml:space="preserve"> 108, 109 (2015); Andy Murdock, </w:t>
      </w:r>
      <w:hyperlink r:id="rId14" w:history="1">
        <w:r w:rsidR="001E13E9" w:rsidRPr="00387006">
          <w:rPr>
            <w:rStyle w:val="Hyperlink"/>
            <w:rFonts w:asciiTheme="majorBidi" w:hAnsiTheme="majorBidi" w:cstheme="majorBidi"/>
            <w:i/>
            <w:iCs/>
            <w:shd w:val="clear" w:color="auto" w:fill="FFFFFF"/>
          </w:rPr>
          <w:t>The Evolutionary Advantage of the Teenage Brain</w:t>
        </w:r>
      </w:hyperlink>
      <w:r w:rsidR="001E13E9">
        <w:rPr>
          <w:rFonts w:asciiTheme="majorBidi" w:hAnsiTheme="majorBidi" w:cstheme="majorBidi"/>
          <w:color w:val="000000" w:themeColor="text1"/>
          <w:shd w:val="clear" w:color="auto" w:fill="FFFFFF"/>
        </w:rPr>
        <w:t xml:space="preserve">, </w:t>
      </w:r>
      <w:r w:rsidR="001E13E9" w:rsidRPr="00387006">
        <w:rPr>
          <w:rFonts w:asciiTheme="majorBidi" w:hAnsiTheme="majorBidi" w:cstheme="majorBidi"/>
          <w:smallCaps/>
          <w:color w:val="000000" w:themeColor="text1"/>
          <w:shd w:val="clear" w:color="auto" w:fill="FFFFFF"/>
        </w:rPr>
        <w:t xml:space="preserve">Univ. of California </w:t>
      </w:r>
      <w:r w:rsidR="001E13E9">
        <w:rPr>
          <w:rFonts w:asciiTheme="majorBidi" w:hAnsiTheme="majorBidi" w:cstheme="majorBidi"/>
          <w:color w:val="000000" w:themeColor="text1"/>
          <w:shd w:val="clear" w:color="auto" w:fill="FFFFFF"/>
        </w:rPr>
        <w:t xml:space="preserve">(March 25, 2020) (“The prefrontal cortex is what allows us to think about the future, to understand consequences, and generally make better decisions.”).  </w:t>
      </w:r>
      <w:r w:rsidR="00387006">
        <w:rPr>
          <w:rFonts w:asciiTheme="majorBidi" w:hAnsiTheme="majorBidi" w:cstheme="majorBidi"/>
          <w:color w:val="000000" w:themeColor="text1"/>
          <w:shd w:val="clear" w:color="auto" w:fill="FFFFFF"/>
        </w:rPr>
        <w:t xml:space="preserve">MRI studies reveal that developmental processes tend to occur in the brain in a back-to-front pattern, which explains why the prefrontal cortex develops last. </w:t>
      </w:r>
      <w:r w:rsidR="001E13E9" w:rsidRPr="002B72B7">
        <w:rPr>
          <w:rFonts w:asciiTheme="majorBidi" w:hAnsiTheme="majorBidi" w:cstheme="majorBidi"/>
          <w:color w:val="000000" w:themeColor="text1"/>
          <w:shd w:val="clear" w:color="auto" w:fill="FFFFFF"/>
        </w:rPr>
        <w:t>Mariam</w:t>
      </w:r>
      <w:r w:rsidR="001E13E9">
        <w:rPr>
          <w:rFonts w:asciiTheme="majorBidi" w:hAnsiTheme="majorBidi" w:cstheme="majorBidi"/>
          <w:color w:val="000000" w:themeColor="text1"/>
          <w:shd w:val="clear" w:color="auto" w:fill="FFFFFF"/>
        </w:rPr>
        <w:t xml:space="preserve"> Arain, et al, </w:t>
      </w:r>
      <w:hyperlink r:id="rId15" w:history="1">
        <w:r w:rsidR="001E13E9" w:rsidRPr="005A4D51">
          <w:rPr>
            <w:rStyle w:val="Hyperlink"/>
            <w:rFonts w:asciiTheme="majorBidi" w:hAnsiTheme="majorBidi" w:cstheme="majorBidi"/>
            <w:i/>
            <w:iCs/>
            <w:shd w:val="clear" w:color="auto" w:fill="FFFFFF"/>
          </w:rPr>
          <w:t>Maturation of the Adolescent Brain</w:t>
        </w:r>
      </w:hyperlink>
      <w:r w:rsidR="001E13E9">
        <w:rPr>
          <w:rFonts w:asciiTheme="majorBidi" w:hAnsiTheme="majorBidi" w:cstheme="majorBidi"/>
          <w:color w:val="000000" w:themeColor="text1"/>
          <w:shd w:val="clear" w:color="auto" w:fill="FFFFFF"/>
        </w:rPr>
        <w:t xml:space="preserve">, </w:t>
      </w:r>
      <w:r w:rsidR="001E13E9" w:rsidRPr="00A450FF">
        <w:rPr>
          <w:rFonts w:asciiTheme="majorBidi" w:hAnsiTheme="majorBidi" w:cstheme="majorBidi"/>
          <w:smallCaps/>
          <w:color w:val="000000" w:themeColor="text1"/>
          <w:shd w:val="clear" w:color="auto" w:fill="FFFFFF"/>
        </w:rPr>
        <w:t>Dove Press J.: Neuropsychiatric Disease and Treatment</w:t>
      </w:r>
      <w:r w:rsidR="001E13E9">
        <w:rPr>
          <w:rFonts w:asciiTheme="majorBidi" w:hAnsiTheme="majorBidi" w:cstheme="majorBidi"/>
          <w:color w:val="000000" w:themeColor="text1"/>
          <w:shd w:val="clear" w:color="auto" w:fill="FFFFFF"/>
        </w:rPr>
        <w:t xml:space="preserve"> (April 2, 2013). </w:t>
      </w:r>
      <w:r w:rsidR="00387006">
        <w:rPr>
          <w:rFonts w:asciiTheme="majorBidi" w:hAnsiTheme="majorBidi" w:cstheme="majorBidi"/>
          <w:color w:val="000000" w:themeColor="text1"/>
          <w:shd w:val="clear" w:color="auto" w:fill="FFFFFF"/>
        </w:rPr>
        <w:t xml:space="preserve">The process of structural development in the brain is long – and does not finish until around age </w:t>
      </w:r>
      <w:r w:rsidR="000853BF">
        <w:rPr>
          <w:rFonts w:asciiTheme="majorBidi" w:hAnsiTheme="majorBidi" w:cstheme="majorBidi"/>
          <w:color w:val="000000" w:themeColor="text1"/>
          <w:shd w:val="clear" w:color="auto" w:fill="FFFFFF"/>
        </w:rPr>
        <w:t>twenty-five</w:t>
      </w:r>
      <w:r w:rsidR="00387006">
        <w:rPr>
          <w:rFonts w:asciiTheme="majorBidi" w:hAnsiTheme="majorBidi" w:cstheme="majorBidi"/>
          <w:color w:val="000000" w:themeColor="text1"/>
          <w:shd w:val="clear" w:color="auto" w:fill="FFFFFF"/>
        </w:rPr>
        <w:t xml:space="preserve">. </w:t>
      </w:r>
      <w:r w:rsidR="00387006">
        <w:rPr>
          <w:rFonts w:asciiTheme="majorBidi" w:hAnsiTheme="majorBidi" w:cstheme="majorBidi"/>
          <w:i/>
          <w:iCs/>
          <w:color w:val="000000" w:themeColor="text1"/>
          <w:shd w:val="clear" w:color="auto" w:fill="FFFFFF"/>
        </w:rPr>
        <w:t>Id.</w:t>
      </w:r>
      <w:r w:rsidR="00F411D3">
        <w:rPr>
          <w:rFonts w:asciiTheme="majorBidi" w:hAnsiTheme="majorBidi" w:cstheme="majorBidi"/>
          <w:i/>
          <w:iCs/>
          <w:color w:val="000000" w:themeColor="text1"/>
          <w:shd w:val="clear" w:color="auto" w:fill="FFFFFF"/>
        </w:rPr>
        <w:t xml:space="preserve"> </w:t>
      </w:r>
      <w:r w:rsidR="00F411D3">
        <w:rPr>
          <w:rFonts w:asciiTheme="majorBidi" w:hAnsiTheme="majorBidi" w:cstheme="majorBidi"/>
          <w:color w:val="000000" w:themeColor="text1"/>
          <w:shd w:val="clear" w:color="auto" w:fill="FFFFFF"/>
        </w:rPr>
        <w:t xml:space="preserve">Thus, throughout childhood, adolescent, and early adult years, juveniles lack full maturation of this important brain mechanism crucial to foreseeing and weighing potential consequences. </w:t>
      </w:r>
    </w:p>
    <w:p w14:paraId="2514C80D" w14:textId="77777777" w:rsidR="00C4131E" w:rsidRPr="004F223B" w:rsidRDefault="00C4131E" w:rsidP="00C4131E">
      <w:pPr>
        <w:pStyle w:val="ListParagraph"/>
        <w:numPr>
          <w:ilvl w:val="1"/>
          <w:numId w:val="7"/>
        </w:numPr>
        <w:textAlignment w:val="baseline"/>
        <w:rPr>
          <w:i/>
          <w:iCs/>
          <w:color w:val="000000"/>
        </w:rPr>
      </w:pPr>
      <w:r w:rsidRPr="004F223B">
        <w:rPr>
          <w:i/>
          <w:iCs/>
          <w:color w:val="000000"/>
        </w:rPr>
        <w:t>Juveniles have heightened sensation-seeking incentive systems, making them more likely to take risks and undervalue negative consequences. </w:t>
      </w:r>
    </w:p>
    <w:p w14:paraId="575E6290" w14:textId="77777777" w:rsidR="003F4A63" w:rsidRDefault="003F4A63" w:rsidP="003F4A63">
      <w:pPr>
        <w:textAlignment w:val="baseline"/>
        <w:rPr>
          <w:rFonts w:asciiTheme="majorBidi" w:hAnsiTheme="majorBidi" w:cstheme="majorBidi"/>
          <w:color w:val="000000" w:themeColor="text1"/>
          <w:shd w:val="clear" w:color="auto" w:fill="FFFFFF"/>
        </w:rPr>
      </w:pPr>
    </w:p>
    <w:p w14:paraId="7E7CF479" w14:textId="1CE48845" w:rsidR="003B4806" w:rsidRPr="00665F3E" w:rsidRDefault="00D63BE3" w:rsidP="005770E0">
      <w:pPr>
        <w:spacing w:line="480" w:lineRule="auto"/>
        <w:ind w:firstLine="720"/>
        <w:jc w:val="both"/>
        <w:textAlignment w:val="baseline"/>
        <w:rPr>
          <w:rFonts w:asciiTheme="majorBidi" w:hAnsiTheme="majorBidi" w:cstheme="majorBidi"/>
          <w:color w:val="000000" w:themeColor="text1"/>
          <w:shd w:val="clear" w:color="auto" w:fill="FFFFFF"/>
        </w:rPr>
      </w:pPr>
      <w:r>
        <w:rPr>
          <w:rFonts w:asciiTheme="majorBidi" w:hAnsiTheme="majorBidi" w:cstheme="majorBidi"/>
          <w:color w:val="000000" w:themeColor="text1"/>
          <w:shd w:val="clear" w:color="auto" w:fill="FFFFFF"/>
        </w:rPr>
        <w:lastRenderedPageBreak/>
        <w:t xml:space="preserve">In contrast with the late-developing prefrontal cortex, one of the </w:t>
      </w:r>
      <w:r w:rsidR="007B06C9">
        <w:rPr>
          <w:rFonts w:asciiTheme="majorBidi" w:hAnsiTheme="majorBidi" w:cstheme="majorBidi"/>
          <w:color w:val="000000" w:themeColor="text1"/>
          <w:shd w:val="clear" w:color="auto" w:fill="FFFFFF"/>
        </w:rPr>
        <w:t xml:space="preserve">earliest </w:t>
      </w:r>
      <w:r w:rsidR="003C7487" w:rsidRPr="003F4A63">
        <w:rPr>
          <w:rFonts w:asciiTheme="majorBidi" w:hAnsiTheme="majorBidi" w:cstheme="majorBidi"/>
          <w:color w:val="000000" w:themeColor="text1"/>
          <w:shd w:val="clear" w:color="auto" w:fill="FFFFFF"/>
        </w:rPr>
        <w:t>region</w:t>
      </w:r>
      <w:r>
        <w:rPr>
          <w:rFonts w:asciiTheme="majorBidi" w:hAnsiTheme="majorBidi" w:cstheme="majorBidi"/>
          <w:color w:val="000000" w:themeColor="text1"/>
          <w:shd w:val="clear" w:color="auto" w:fill="FFFFFF"/>
        </w:rPr>
        <w:t>s</w:t>
      </w:r>
      <w:r w:rsidR="003C7487" w:rsidRPr="003F4A63">
        <w:rPr>
          <w:rFonts w:asciiTheme="majorBidi" w:hAnsiTheme="majorBidi" w:cstheme="majorBidi"/>
          <w:color w:val="000000" w:themeColor="text1"/>
          <w:shd w:val="clear" w:color="auto" w:fill="FFFFFF"/>
        </w:rPr>
        <w:t xml:space="preserve"> of the brain </w:t>
      </w:r>
      <w:r>
        <w:rPr>
          <w:rFonts w:asciiTheme="majorBidi" w:hAnsiTheme="majorBidi" w:cstheme="majorBidi"/>
          <w:color w:val="000000" w:themeColor="text1"/>
          <w:shd w:val="clear" w:color="auto" w:fill="FFFFFF"/>
        </w:rPr>
        <w:t xml:space="preserve">to develop is </w:t>
      </w:r>
      <w:r w:rsidR="003C7487" w:rsidRPr="003F4A63">
        <w:rPr>
          <w:rFonts w:asciiTheme="majorBidi" w:hAnsiTheme="majorBidi" w:cstheme="majorBidi"/>
          <w:color w:val="000000" w:themeColor="text1"/>
          <w:shd w:val="clear" w:color="auto" w:fill="FFFFFF"/>
        </w:rPr>
        <w:t>the </w:t>
      </w:r>
      <w:r w:rsidR="003B6737">
        <w:rPr>
          <w:rFonts w:asciiTheme="majorBidi" w:hAnsiTheme="majorBidi" w:cstheme="majorBidi"/>
          <w:color w:val="000000" w:themeColor="text1"/>
          <w:shd w:val="clear" w:color="auto" w:fill="FFFFFF"/>
        </w:rPr>
        <w:t>limbic system</w:t>
      </w:r>
      <w:r w:rsidR="00045929">
        <w:rPr>
          <w:rFonts w:asciiTheme="majorBidi" w:hAnsiTheme="majorBidi" w:cstheme="majorBidi"/>
          <w:color w:val="000000" w:themeColor="text1"/>
          <w:shd w:val="clear" w:color="auto" w:fill="FFFFFF"/>
        </w:rPr>
        <w:t>. The limbic system</w:t>
      </w:r>
      <w:r w:rsidR="007B06C9">
        <w:rPr>
          <w:rFonts w:asciiTheme="majorBidi" w:hAnsiTheme="majorBidi" w:cstheme="majorBidi"/>
          <w:color w:val="000000" w:themeColor="text1"/>
          <w:shd w:val="clear" w:color="auto" w:fill="FFFFFF"/>
        </w:rPr>
        <w:t>, which includes the amygdala,</w:t>
      </w:r>
      <w:r w:rsidR="00045929">
        <w:rPr>
          <w:rFonts w:asciiTheme="majorBidi" w:hAnsiTheme="majorBidi" w:cstheme="majorBidi"/>
          <w:color w:val="000000" w:themeColor="text1"/>
          <w:shd w:val="clear" w:color="auto" w:fill="FFFFFF"/>
        </w:rPr>
        <w:t xml:space="preserve"> </w:t>
      </w:r>
      <w:r w:rsidR="003C7487" w:rsidRPr="003F4A63">
        <w:rPr>
          <w:rFonts w:asciiTheme="majorBidi" w:hAnsiTheme="majorBidi" w:cstheme="majorBidi"/>
          <w:color w:val="000000" w:themeColor="text1"/>
          <w:shd w:val="clear" w:color="auto" w:fill="FFFFFF"/>
        </w:rPr>
        <w:t>is responsible for immediate reactions including fear</w:t>
      </w:r>
      <w:r w:rsidR="003B6737">
        <w:rPr>
          <w:rFonts w:asciiTheme="majorBidi" w:hAnsiTheme="majorBidi" w:cstheme="majorBidi"/>
          <w:color w:val="000000" w:themeColor="text1"/>
          <w:shd w:val="clear" w:color="auto" w:fill="FFFFFF"/>
        </w:rPr>
        <w:t xml:space="preserve">, anger, and </w:t>
      </w:r>
      <w:r w:rsidR="003C7487" w:rsidRPr="003F4A63">
        <w:rPr>
          <w:rFonts w:asciiTheme="majorBidi" w:hAnsiTheme="majorBidi" w:cstheme="majorBidi"/>
          <w:color w:val="000000" w:themeColor="text1"/>
          <w:shd w:val="clear" w:color="auto" w:fill="FFFFFF"/>
        </w:rPr>
        <w:t xml:space="preserve">aggressive behavior. </w:t>
      </w:r>
      <w:hyperlink r:id="rId16" w:history="1">
        <w:r w:rsidRPr="00A450FF">
          <w:rPr>
            <w:rStyle w:val="Hyperlink"/>
            <w:rFonts w:asciiTheme="majorBidi" w:hAnsiTheme="majorBidi" w:cstheme="majorBidi"/>
            <w:i/>
            <w:iCs/>
            <w:shd w:val="clear" w:color="auto" w:fill="FFFFFF"/>
          </w:rPr>
          <w:t>Teen Brain: Behavior, Problem Solving, and Decision Making</w:t>
        </w:r>
      </w:hyperlink>
      <w:r>
        <w:rPr>
          <w:rFonts w:asciiTheme="majorBidi" w:hAnsiTheme="majorBidi" w:cstheme="majorBidi"/>
          <w:color w:val="000000" w:themeColor="text1"/>
          <w:shd w:val="clear" w:color="auto" w:fill="FFFFFF"/>
        </w:rPr>
        <w:t xml:space="preserve">, </w:t>
      </w:r>
      <w:r w:rsidRPr="00F411D3">
        <w:rPr>
          <w:rFonts w:asciiTheme="majorBidi" w:hAnsiTheme="majorBidi" w:cstheme="majorBidi"/>
          <w:smallCaps/>
          <w:color w:val="000000" w:themeColor="text1"/>
          <w:shd w:val="clear" w:color="auto" w:fill="FFFFFF"/>
        </w:rPr>
        <w:t>Am. Academy of Child &amp; Adolescent Psychiatry</w:t>
      </w:r>
      <w:r>
        <w:rPr>
          <w:rFonts w:asciiTheme="majorBidi" w:hAnsiTheme="majorBidi" w:cstheme="majorBidi"/>
          <w:color w:val="000000" w:themeColor="text1"/>
          <w:shd w:val="clear" w:color="auto" w:fill="FFFFFF"/>
        </w:rPr>
        <w:t xml:space="preserve"> (Sep. 2017)</w:t>
      </w:r>
      <w:r w:rsidR="007B06C9">
        <w:rPr>
          <w:rFonts w:asciiTheme="majorBidi" w:hAnsiTheme="majorBidi" w:cstheme="majorBidi"/>
          <w:color w:val="000000" w:themeColor="text1"/>
          <w:shd w:val="clear" w:color="auto" w:fill="FFFFFF"/>
        </w:rPr>
        <w:t xml:space="preserve">; </w:t>
      </w:r>
      <w:r w:rsidR="0033421E" w:rsidRPr="0033421E">
        <w:rPr>
          <w:rFonts w:asciiTheme="majorBidi" w:hAnsiTheme="majorBidi" w:cstheme="majorBidi"/>
          <w:color w:val="000000" w:themeColor="text1"/>
          <w:shd w:val="clear" w:color="auto" w:fill="FFFFFF"/>
        </w:rPr>
        <w:t xml:space="preserve">Qais </w:t>
      </w:r>
      <w:proofErr w:type="spellStart"/>
      <w:r w:rsidR="0033421E" w:rsidRPr="0033421E">
        <w:rPr>
          <w:rFonts w:asciiTheme="majorBidi" w:hAnsiTheme="majorBidi" w:cstheme="majorBidi"/>
          <w:color w:val="000000" w:themeColor="text1"/>
          <w:shd w:val="clear" w:color="auto" w:fill="FFFFFF"/>
        </w:rPr>
        <w:t>AbuHasan</w:t>
      </w:r>
      <w:proofErr w:type="spellEnd"/>
      <w:r w:rsidR="0033421E">
        <w:rPr>
          <w:rFonts w:asciiTheme="majorBidi" w:hAnsiTheme="majorBidi" w:cstheme="majorBidi"/>
          <w:color w:val="000000" w:themeColor="text1"/>
          <w:shd w:val="clear" w:color="auto" w:fill="FFFFFF"/>
        </w:rPr>
        <w:t xml:space="preserve">, </w:t>
      </w:r>
      <w:r w:rsidR="0033421E" w:rsidRPr="0033421E">
        <w:rPr>
          <w:rFonts w:asciiTheme="majorBidi" w:hAnsiTheme="majorBidi" w:cstheme="majorBidi"/>
          <w:color w:val="000000" w:themeColor="text1"/>
          <w:shd w:val="clear" w:color="auto" w:fill="FFFFFF"/>
        </w:rPr>
        <w:t>Vamsi Reddy</w:t>
      </w:r>
      <w:r w:rsidR="0033421E">
        <w:rPr>
          <w:rFonts w:asciiTheme="majorBidi" w:hAnsiTheme="majorBidi" w:cstheme="majorBidi"/>
          <w:color w:val="000000" w:themeColor="text1"/>
          <w:shd w:val="clear" w:color="auto" w:fill="FFFFFF"/>
        </w:rPr>
        <w:t xml:space="preserve"> &amp; </w:t>
      </w:r>
      <w:proofErr w:type="spellStart"/>
      <w:r w:rsidR="0033421E" w:rsidRPr="0033421E">
        <w:rPr>
          <w:rFonts w:asciiTheme="majorBidi" w:hAnsiTheme="majorBidi" w:cstheme="majorBidi"/>
          <w:color w:val="000000" w:themeColor="text1"/>
          <w:shd w:val="clear" w:color="auto" w:fill="FFFFFF"/>
        </w:rPr>
        <w:t>Waquar</w:t>
      </w:r>
      <w:proofErr w:type="spellEnd"/>
      <w:r w:rsidR="0033421E" w:rsidRPr="0033421E">
        <w:rPr>
          <w:rFonts w:asciiTheme="majorBidi" w:hAnsiTheme="majorBidi" w:cstheme="majorBidi"/>
          <w:color w:val="000000" w:themeColor="text1"/>
          <w:shd w:val="clear" w:color="auto" w:fill="FFFFFF"/>
        </w:rPr>
        <w:t xml:space="preserve"> Siddiqui</w:t>
      </w:r>
      <w:r w:rsidR="0033421E">
        <w:rPr>
          <w:rFonts w:asciiTheme="majorBidi" w:hAnsiTheme="majorBidi" w:cstheme="majorBidi"/>
          <w:color w:val="000000" w:themeColor="text1"/>
          <w:shd w:val="clear" w:color="auto" w:fill="FFFFFF"/>
        </w:rPr>
        <w:t xml:space="preserve">, </w:t>
      </w:r>
      <w:hyperlink r:id="rId17" w:history="1">
        <w:r w:rsidR="0033421E" w:rsidRPr="0033421E">
          <w:rPr>
            <w:rStyle w:val="Hyperlink"/>
            <w:rFonts w:asciiTheme="majorBidi" w:hAnsiTheme="majorBidi" w:cstheme="majorBidi"/>
            <w:i/>
            <w:iCs/>
            <w:shd w:val="clear" w:color="auto" w:fill="FFFFFF"/>
          </w:rPr>
          <w:t>Neuroanatomy, Amygdala</w:t>
        </w:r>
      </w:hyperlink>
      <w:r w:rsidR="0033421E">
        <w:rPr>
          <w:rFonts w:asciiTheme="majorBidi" w:hAnsiTheme="majorBidi" w:cstheme="majorBidi"/>
          <w:color w:val="000000" w:themeColor="text1"/>
          <w:shd w:val="clear" w:color="auto" w:fill="FFFFFF"/>
        </w:rPr>
        <w:t xml:space="preserve">, </w:t>
      </w:r>
      <w:proofErr w:type="spellStart"/>
      <w:r w:rsidR="0033421E" w:rsidRPr="00AB3249">
        <w:rPr>
          <w:rFonts w:asciiTheme="majorBidi" w:hAnsiTheme="majorBidi" w:cstheme="majorBidi"/>
          <w:smallCaps/>
          <w:color w:val="000000" w:themeColor="text1"/>
          <w:shd w:val="clear" w:color="auto" w:fill="FFFFFF"/>
        </w:rPr>
        <w:t>Nat’l</w:t>
      </w:r>
      <w:proofErr w:type="spellEnd"/>
      <w:r w:rsidR="0033421E" w:rsidRPr="00AB3249">
        <w:rPr>
          <w:rFonts w:asciiTheme="majorBidi" w:hAnsiTheme="majorBidi" w:cstheme="majorBidi"/>
          <w:smallCaps/>
          <w:color w:val="000000" w:themeColor="text1"/>
          <w:shd w:val="clear" w:color="auto" w:fill="FFFFFF"/>
        </w:rPr>
        <w:t xml:space="preserve"> </w:t>
      </w:r>
      <w:proofErr w:type="spellStart"/>
      <w:r w:rsidR="0033421E" w:rsidRPr="00AB3249">
        <w:rPr>
          <w:rFonts w:asciiTheme="majorBidi" w:hAnsiTheme="majorBidi" w:cstheme="majorBidi"/>
          <w:smallCaps/>
          <w:color w:val="000000" w:themeColor="text1"/>
          <w:shd w:val="clear" w:color="auto" w:fill="FFFFFF"/>
        </w:rPr>
        <w:t>Libr</w:t>
      </w:r>
      <w:proofErr w:type="spellEnd"/>
      <w:r w:rsidR="0033421E" w:rsidRPr="00AB3249">
        <w:rPr>
          <w:rFonts w:asciiTheme="majorBidi" w:hAnsiTheme="majorBidi" w:cstheme="majorBidi"/>
          <w:smallCaps/>
          <w:color w:val="000000" w:themeColor="text1"/>
          <w:shd w:val="clear" w:color="auto" w:fill="FFFFFF"/>
        </w:rPr>
        <w:t>. of Medicine</w:t>
      </w:r>
      <w:r w:rsidR="0033421E">
        <w:rPr>
          <w:rFonts w:asciiTheme="majorBidi" w:hAnsiTheme="majorBidi" w:cstheme="majorBidi"/>
          <w:color w:val="000000" w:themeColor="text1"/>
          <w:shd w:val="clear" w:color="auto" w:fill="FFFFFF"/>
        </w:rPr>
        <w:t xml:space="preserve"> (July 17, 2023). </w:t>
      </w:r>
      <w:r w:rsidR="003B6737">
        <w:rPr>
          <w:rFonts w:asciiTheme="majorBidi" w:hAnsiTheme="majorBidi" w:cstheme="majorBidi"/>
          <w:color w:val="000000" w:themeColor="text1"/>
          <w:shd w:val="clear" w:color="auto" w:fill="FFFFFF"/>
        </w:rPr>
        <w:t xml:space="preserve">The limbic system, which itself includes the </w:t>
      </w:r>
      <w:r w:rsidR="003B6737" w:rsidRPr="003F4A63">
        <w:rPr>
          <w:rStyle w:val="Strong"/>
          <w:rFonts w:asciiTheme="majorBidi" w:hAnsiTheme="majorBidi" w:cstheme="majorBidi"/>
          <w:b w:val="0"/>
          <w:bCs w:val="0"/>
          <w:color w:val="000000" w:themeColor="text1"/>
          <w:shd w:val="clear" w:color="auto" w:fill="FFFFFF"/>
        </w:rPr>
        <w:t>amygdala</w:t>
      </w:r>
      <w:r w:rsidR="003B6737">
        <w:rPr>
          <w:rFonts w:asciiTheme="majorBidi" w:hAnsiTheme="majorBidi" w:cstheme="majorBidi"/>
          <w:color w:val="000000" w:themeColor="text1"/>
          <w:shd w:val="clear" w:color="auto" w:fill="FFFFFF"/>
        </w:rPr>
        <w:t xml:space="preserve">, the hippocampus, and the hypothalamus, is also responsible for feelings of pleasure and reward. Mariam Arain, et al, </w:t>
      </w:r>
      <w:hyperlink r:id="rId18" w:history="1">
        <w:r w:rsidR="003B6737" w:rsidRPr="005A4D51">
          <w:rPr>
            <w:rStyle w:val="Hyperlink"/>
            <w:rFonts w:asciiTheme="majorBidi" w:hAnsiTheme="majorBidi" w:cstheme="majorBidi"/>
            <w:i/>
            <w:iCs/>
            <w:shd w:val="clear" w:color="auto" w:fill="FFFFFF"/>
          </w:rPr>
          <w:t>Maturation of the Adolescent Brain</w:t>
        </w:r>
      </w:hyperlink>
      <w:r w:rsidR="003B6737">
        <w:rPr>
          <w:rFonts w:asciiTheme="majorBidi" w:hAnsiTheme="majorBidi" w:cstheme="majorBidi"/>
          <w:color w:val="000000" w:themeColor="text1"/>
          <w:shd w:val="clear" w:color="auto" w:fill="FFFFFF"/>
        </w:rPr>
        <w:t xml:space="preserve">, </w:t>
      </w:r>
      <w:r w:rsidR="003B6737" w:rsidRPr="00A450FF">
        <w:rPr>
          <w:rFonts w:asciiTheme="majorBidi" w:hAnsiTheme="majorBidi" w:cstheme="majorBidi"/>
          <w:smallCaps/>
          <w:color w:val="000000" w:themeColor="text1"/>
          <w:shd w:val="clear" w:color="auto" w:fill="FFFFFF"/>
        </w:rPr>
        <w:t>Dove Press J.: Neuropsychiatric Disease and Treatment</w:t>
      </w:r>
      <w:r w:rsidR="003B6737">
        <w:rPr>
          <w:rFonts w:asciiTheme="majorBidi" w:hAnsiTheme="majorBidi" w:cstheme="majorBidi"/>
          <w:color w:val="000000" w:themeColor="text1"/>
          <w:shd w:val="clear" w:color="auto" w:fill="FFFFFF"/>
        </w:rPr>
        <w:t xml:space="preserve"> (April 2, 2013). Neuroimaging studies reveal that</w:t>
      </w:r>
      <w:r w:rsidR="00915334">
        <w:rPr>
          <w:rFonts w:asciiTheme="majorBidi" w:hAnsiTheme="majorBidi" w:cstheme="majorBidi"/>
          <w:color w:val="000000" w:themeColor="text1"/>
          <w:shd w:val="clear" w:color="auto" w:fill="FFFFFF"/>
        </w:rPr>
        <w:t>,</w:t>
      </w:r>
      <w:r w:rsidR="003B6737">
        <w:rPr>
          <w:rFonts w:asciiTheme="majorBidi" w:hAnsiTheme="majorBidi" w:cstheme="majorBidi"/>
          <w:color w:val="000000" w:themeColor="text1"/>
          <w:shd w:val="clear" w:color="auto" w:fill="FFFFFF"/>
        </w:rPr>
        <w:t xml:space="preserve"> when making decisions and interacting with others, adolescents are more likely than adults to use the emotional </w:t>
      </w:r>
      <w:r w:rsidR="00045929">
        <w:rPr>
          <w:rFonts w:asciiTheme="majorBidi" w:hAnsiTheme="majorBidi" w:cstheme="majorBidi"/>
          <w:color w:val="000000" w:themeColor="text1"/>
          <w:shd w:val="clear" w:color="auto" w:fill="FFFFFF"/>
        </w:rPr>
        <w:t xml:space="preserve">limbic </w:t>
      </w:r>
      <w:r w:rsidR="003B6737">
        <w:rPr>
          <w:rFonts w:asciiTheme="majorBidi" w:hAnsiTheme="majorBidi" w:cstheme="majorBidi"/>
          <w:color w:val="000000" w:themeColor="text1"/>
          <w:shd w:val="clear" w:color="auto" w:fill="FFFFFF"/>
        </w:rPr>
        <w:t xml:space="preserve">region of their brain </w:t>
      </w:r>
      <w:r w:rsidR="000853BF">
        <w:rPr>
          <w:rFonts w:asciiTheme="majorBidi" w:hAnsiTheme="majorBidi" w:cstheme="majorBidi"/>
          <w:color w:val="000000" w:themeColor="text1"/>
          <w:shd w:val="clear" w:color="auto" w:fill="FFFFFF"/>
        </w:rPr>
        <w:t xml:space="preserve">instead of using </w:t>
      </w:r>
      <w:r w:rsidR="003B6737">
        <w:rPr>
          <w:rFonts w:asciiTheme="majorBidi" w:hAnsiTheme="majorBidi" w:cstheme="majorBidi"/>
          <w:color w:val="000000" w:themeColor="text1"/>
          <w:shd w:val="clear" w:color="auto" w:fill="FFFFFF"/>
        </w:rPr>
        <w:t xml:space="preserve">their more rational prefrontal cortices. </w:t>
      </w:r>
      <w:r w:rsidR="003B6737">
        <w:rPr>
          <w:rFonts w:asciiTheme="majorBidi" w:hAnsiTheme="majorBidi" w:cstheme="majorBidi"/>
          <w:i/>
          <w:iCs/>
          <w:color w:val="000000" w:themeColor="text1"/>
          <w:shd w:val="clear" w:color="auto" w:fill="FFFFFF"/>
        </w:rPr>
        <w:t xml:space="preserve">Id. </w:t>
      </w:r>
      <w:r w:rsidR="00F411D3">
        <w:rPr>
          <w:rFonts w:asciiTheme="majorBidi" w:hAnsiTheme="majorBidi" w:cstheme="majorBidi"/>
          <w:color w:val="000000" w:themeColor="text1"/>
          <w:shd w:val="clear" w:color="auto" w:fill="FFFFFF"/>
        </w:rPr>
        <w:t xml:space="preserve">In addition </w:t>
      </w:r>
      <w:r w:rsidR="00F91460">
        <w:rPr>
          <w:rFonts w:asciiTheme="majorBidi" w:hAnsiTheme="majorBidi" w:cstheme="majorBidi"/>
          <w:color w:val="000000" w:themeColor="text1"/>
          <w:shd w:val="clear" w:color="auto" w:fill="FFFFFF"/>
        </w:rPr>
        <w:t xml:space="preserve">(and perhaps related) </w:t>
      </w:r>
      <w:r w:rsidR="00F411D3">
        <w:rPr>
          <w:rFonts w:asciiTheme="majorBidi" w:hAnsiTheme="majorBidi" w:cstheme="majorBidi"/>
          <w:color w:val="000000" w:themeColor="text1"/>
          <w:shd w:val="clear" w:color="auto" w:fill="FFFFFF"/>
        </w:rPr>
        <w:t xml:space="preserve">to </w:t>
      </w:r>
      <w:r w:rsidR="00665F3E">
        <w:rPr>
          <w:rFonts w:asciiTheme="majorBidi" w:hAnsiTheme="majorBidi" w:cstheme="majorBidi"/>
          <w:color w:val="000000" w:themeColor="text1"/>
          <w:shd w:val="clear" w:color="auto" w:fill="FFFFFF"/>
        </w:rPr>
        <w:t xml:space="preserve">this region of the brain developing faster, hormonal changes </w:t>
      </w:r>
      <w:r w:rsidR="005770E0">
        <w:rPr>
          <w:rFonts w:asciiTheme="majorBidi" w:hAnsiTheme="majorBidi" w:cstheme="majorBidi"/>
          <w:color w:val="000000" w:themeColor="text1"/>
          <w:shd w:val="clear" w:color="auto" w:fill="FFFFFF"/>
        </w:rPr>
        <w:t>during</w:t>
      </w:r>
      <w:r w:rsidR="00665F3E">
        <w:rPr>
          <w:rFonts w:asciiTheme="majorBidi" w:hAnsiTheme="majorBidi" w:cstheme="majorBidi"/>
          <w:color w:val="000000" w:themeColor="text1"/>
          <w:shd w:val="clear" w:color="auto" w:fill="FFFFFF"/>
        </w:rPr>
        <w:t xml:space="preserve"> puberty </w:t>
      </w:r>
      <w:r w:rsidR="005770E0">
        <w:rPr>
          <w:rFonts w:asciiTheme="majorBidi" w:hAnsiTheme="majorBidi" w:cstheme="majorBidi"/>
          <w:color w:val="000000" w:themeColor="text1"/>
          <w:shd w:val="clear" w:color="auto" w:fill="FFFFFF"/>
        </w:rPr>
        <w:t>also</w:t>
      </w:r>
      <w:r w:rsidR="00665F3E">
        <w:rPr>
          <w:rFonts w:asciiTheme="majorBidi" w:hAnsiTheme="majorBidi" w:cstheme="majorBidi"/>
          <w:color w:val="000000" w:themeColor="text1"/>
          <w:shd w:val="clear" w:color="auto" w:fill="FFFFFF"/>
        </w:rPr>
        <w:t xml:space="preserve"> </w:t>
      </w:r>
      <w:r w:rsidR="005770E0">
        <w:rPr>
          <w:rFonts w:asciiTheme="majorBidi" w:hAnsiTheme="majorBidi" w:cstheme="majorBidi"/>
          <w:color w:val="000000" w:themeColor="text1"/>
          <w:shd w:val="clear" w:color="auto" w:fill="FFFFFF"/>
        </w:rPr>
        <w:t xml:space="preserve">increase </w:t>
      </w:r>
      <w:r w:rsidR="00665F3E">
        <w:rPr>
          <w:rFonts w:asciiTheme="majorBidi" w:hAnsiTheme="majorBidi" w:cstheme="majorBidi"/>
          <w:color w:val="000000" w:themeColor="text1"/>
          <w:shd w:val="clear" w:color="auto" w:fill="FFFFFF"/>
        </w:rPr>
        <w:t>“emotional volatility and impulsivity.” Mariam</w:t>
      </w:r>
      <w:r w:rsidR="00915334">
        <w:rPr>
          <w:rFonts w:asciiTheme="majorBidi" w:hAnsiTheme="majorBidi" w:cstheme="majorBidi"/>
          <w:color w:val="000000" w:themeColor="text1"/>
          <w:shd w:val="clear" w:color="auto" w:fill="FFFFFF"/>
        </w:rPr>
        <w:t xml:space="preserve">, </w:t>
      </w:r>
      <w:r w:rsidR="00915334">
        <w:rPr>
          <w:rFonts w:asciiTheme="majorBidi" w:hAnsiTheme="majorBidi" w:cstheme="majorBidi"/>
          <w:i/>
          <w:iCs/>
          <w:color w:val="000000" w:themeColor="text1"/>
          <w:shd w:val="clear" w:color="auto" w:fill="FFFFFF"/>
        </w:rPr>
        <w:t>supra</w:t>
      </w:r>
      <w:r w:rsidR="00665F3E">
        <w:rPr>
          <w:rFonts w:asciiTheme="majorBidi" w:hAnsiTheme="majorBidi" w:cstheme="majorBidi"/>
          <w:color w:val="000000" w:themeColor="text1"/>
          <w:shd w:val="clear" w:color="auto" w:fill="FFFFFF"/>
        </w:rPr>
        <w:t xml:space="preserve"> at 455.  </w:t>
      </w:r>
      <w:r w:rsidR="005770E0">
        <w:rPr>
          <w:rFonts w:asciiTheme="majorBidi" w:hAnsiTheme="majorBidi" w:cstheme="majorBidi"/>
          <w:color w:val="000000" w:themeColor="text1"/>
          <w:shd w:val="clear" w:color="auto" w:fill="FFFFFF"/>
        </w:rPr>
        <w:t xml:space="preserve">As demonstrated by the prefrontal cortex and the limbic system, juveniles are undergoing change in different areas of the brain at different rates. The combination of these changes </w:t>
      </w:r>
      <w:proofErr w:type="gramStart"/>
      <w:r w:rsidR="005770E0">
        <w:rPr>
          <w:rFonts w:asciiTheme="majorBidi" w:hAnsiTheme="majorBidi" w:cstheme="majorBidi"/>
          <w:color w:val="000000" w:themeColor="text1"/>
          <w:shd w:val="clear" w:color="auto" w:fill="FFFFFF"/>
        </w:rPr>
        <w:t>carries</w:t>
      </w:r>
      <w:proofErr w:type="gramEnd"/>
      <w:r w:rsidR="005770E0">
        <w:rPr>
          <w:rFonts w:asciiTheme="majorBidi" w:hAnsiTheme="majorBidi" w:cstheme="majorBidi"/>
          <w:color w:val="000000" w:themeColor="text1"/>
          <w:shd w:val="clear" w:color="auto" w:fill="FFFFFF"/>
        </w:rPr>
        <w:t xml:space="preserve"> important consequences. </w:t>
      </w:r>
    </w:p>
    <w:p w14:paraId="3D2E6BE3" w14:textId="5CDC4CEE" w:rsidR="00C4131E" w:rsidRDefault="00C4131E" w:rsidP="003B6737">
      <w:pPr>
        <w:numPr>
          <w:ilvl w:val="1"/>
          <w:numId w:val="7"/>
        </w:numPr>
        <w:textAlignment w:val="baseline"/>
        <w:rPr>
          <w:color w:val="000000"/>
        </w:rPr>
      </w:pPr>
      <w:r w:rsidRPr="004F223B">
        <w:rPr>
          <w:i/>
          <w:iCs/>
          <w:color w:val="000000"/>
        </w:rPr>
        <w:t xml:space="preserve">The </w:t>
      </w:r>
      <w:r w:rsidR="00C81156">
        <w:rPr>
          <w:i/>
          <w:iCs/>
          <w:color w:val="000000"/>
        </w:rPr>
        <w:t>way the brain develops</w:t>
      </w:r>
      <w:r w:rsidRPr="004F223B">
        <w:rPr>
          <w:i/>
          <w:iCs/>
          <w:color w:val="000000"/>
        </w:rPr>
        <w:t xml:space="preserve"> creates a </w:t>
      </w:r>
      <w:r w:rsidR="007B06C9">
        <w:rPr>
          <w:i/>
          <w:iCs/>
          <w:color w:val="000000"/>
        </w:rPr>
        <w:t xml:space="preserve">developmental </w:t>
      </w:r>
      <w:r w:rsidRPr="004F223B">
        <w:rPr>
          <w:i/>
          <w:iCs/>
          <w:color w:val="000000"/>
        </w:rPr>
        <w:t xml:space="preserve">mismatch that renders juveniles less able to think through the consequences of their behavior and foresee potential harm that could occur “in furtherance of” </w:t>
      </w:r>
      <w:r w:rsidR="00915334">
        <w:rPr>
          <w:i/>
          <w:iCs/>
          <w:color w:val="000000"/>
        </w:rPr>
        <w:t xml:space="preserve">a </w:t>
      </w:r>
      <w:r w:rsidRPr="004F223B">
        <w:rPr>
          <w:i/>
          <w:iCs/>
          <w:color w:val="000000"/>
        </w:rPr>
        <w:t>felony they</w:t>
      </w:r>
      <w:r w:rsidR="00915334">
        <w:rPr>
          <w:i/>
          <w:iCs/>
          <w:color w:val="000000"/>
        </w:rPr>
        <w:t xml:space="preserve"> are alleged to have</w:t>
      </w:r>
      <w:r w:rsidRPr="004F223B">
        <w:rPr>
          <w:i/>
          <w:iCs/>
          <w:color w:val="000000"/>
        </w:rPr>
        <w:t xml:space="preserve"> </w:t>
      </w:r>
      <w:r w:rsidR="00915334">
        <w:rPr>
          <w:i/>
          <w:iCs/>
          <w:color w:val="000000"/>
        </w:rPr>
        <w:t>committed.</w:t>
      </w:r>
    </w:p>
    <w:p w14:paraId="424A10CF" w14:textId="77777777" w:rsidR="003B6737" w:rsidRDefault="003B6737" w:rsidP="003B6737">
      <w:pPr>
        <w:textAlignment w:val="baseline"/>
        <w:rPr>
          <w:color w:val="000000"/>
        </w:rPr>
      </w:pPr>
    </w:p>
    <w:p w14:paraId="693EBB3B" w14:textId="738F469C" w:rsidR="00C81156" w:rsidRDefault="006500A6" w:rsidP="00F91460">
      <w:pPr>
        <w:spacing w:line="480" w:lineRule="auto"/>
        <w:ind w:firstLine="720"/>
        <w:jc w:val="both"/>
        <w:textAlignment w:val="baseline"/>
        <w:rPr>
          <w:color w:val="000000"/>
        </w:rPr>
      </w:pPr>
      <w:r>
        <w:rPr>
          <w:color w:val="000000"/>
        </w:rPr>
        <w:t xml:space="preserve">The late-developing prefrontal cortex combined with the early-developing limbic system </w:t>
      </w:r>
      <w:r w:rsidR="00CB56D6">
        <w:rPr>
          <w:color w:val="000000"/>
        </w:rPr>
        <w:t>creates what many scientists have called</w:t>
      </w:r>
      <w:r>
        <w:rPr>
          <w:color w:val="000000"/>
        </w:rPr>
        <w:t xml:space="preserve"> </w:t>
      </w:r>
      <w:r w:rsidR="00205F47">
        <w:rPr>
          <w:color w:val="000000"/>
        </w:rPr>
        <w:t>a “developmental</w:t>
      </w:r>
      <w:r w:rsidR="005770E0">
        <w:rPr>
          <w:color w:val="000000"/>
        </w:rPr>
        <w:t xml:space="preserve"> </w:t>
      </w:r>
      <w:r>
        <w:rPr>
          <w:color w:val="000000"/>
        </w:rPr>
        <w:t>mismatch.</w:t>
      </w:r>
      <w:r w:rsidR="00CB56D6">
        <w:rPr>
          <w:color w:val="000000"/>
        </w:rPr>
        <w:t>”</w:t>
      </w:r>
      <w:r>
        <w:rPr>
          <w:color w:val="000000"/>
        </w:rPr>
        <w:t xml:space="preserve"> </w:t>
      </w:r>
      <w:r w:rsidR="00205F47">
        <w:rPr>
          <w:color w:val="000000"/>
        </w:rPr>
        <w:t xml:space="preserve">Kathryn L. Mills, et al, </w:t>
      </w:r>
      <w:hyperlink r:id="rId19" w:history="1">
        <w:r w:rsidR="00205F47" w:rsidRPr="00205F47">
          <w:rPr>
            <w:rStyle w:val="Hyperlink"/>
            <w:i/>
            <w:iCs/>
          </w:rPr>
          <w:t>The Developmental Mismatch in Structural Brain Maturation During Adolescence</w:t>
        </w:r>
      </w:hyperlink>
      <w:r w:rsidR="00205F47">
        <w:rPr>
          <w:i/>
          <w:iCs/>
          <w:color w:val="000000"/>
        </w:rPr>
        <w:t xml:space="preserve">, </w:t>
      </w:r>
      <w:r w:rsidR="00205F47">
        <w:rPr>
          <w:color w:val="000000"/>
        </w:rPr>
        <w:t xml:space="preserve">36 </w:t>
      </w:r>
      <w:r w:rsidR="00205F47" w:rsidRPr="00205F47">
        <w:rPr>
          <w:smallCaps/>
          <w:color w:val="000000"/>
        </w:rPr>
        <w:t>Developmental Neuroscience</w:t>
      </w:r>
      <w:r w:rsidR="00205F47">
        <w:rPr>
          <w:color w:val="000000"/>
        </w:rPr>
        <w:t xml:space="preserve"> 147, 148 (June 27, 2014). </w:t>
      </w:r>
      <w:r w:rsidR="00CB56D6">
        <w:rPr>
          <w:color w:val="000000"/>
        </w:rPr>
        <w:t xml:space="preserve">This developmental mismatch is at its most severe during adolescence, when the limbic system </w:t>
      </w:r>
      <w:r w:rsidR="00C81156">
        <w:rPr>
          <w:color w:val="000000"/>
        </w:rPr>
        <w:t>h</w:t>
      </w:r>
      <w:r w:rsidR="00CB56D6">
        <w:rPr>
          <w:color w:val="000000"/>
        </w:rPr>
        <w:t xml:space="preserve">as reached near maturity and the </w:t>
      </w:r>
      <w:r w:rsidR="00CB56D6">
        <w:rPr>
          <w:color w:val="000000"/>
        </w:rPr>
        <w:lastRenderedPageBreak/>
        <w:t xml:space="preserve">prefrontal cortex is developing, but at a much slower rate. </w:t>
      </w:r>
      <w:r w:rsidR="00CB56D6">
        <w:rPr>
          <w:i/>
          <w:iCs/>
          <w:color w:val="000000"/>
        </w:rPr>
        <w:t xml:space="preserve">Id. </w:t>
      </w:r>
      <w:r w:rsidR="00520740">
        <w:rPr>
          <w:color w:val="000000"/>
        </w:rPr>
        <w:t>Scientists</w:t>
      </w:r>
      <w:r w:rsidR="0040563F">
        <w:rPr>
          <w:color w:val="000000"/>
        </w:rPr>
        <w:t xml:space="preserve"> </w:t>
      </w:r>
      <w:r w:rsidR="00C81156">
        <w:rPr>
          <w:color w:val="000000"/>
        </w:rPr>
        <w:t xml:space="preserve">understand </w:t>
      </w:r>
      <w:r w:rsidR="00520740">
        <w:rPr>
          <w:color w:val="000000"/>
        </w:rPr>
        <w:t>that this mismatch underlies</w:t>
      </w:r>
      <w:r w:rsidR="0040563F">
        <w:rPr>
          <w:color w:val="000000"/>
        </w:rPr>
        <w:t xml:space="preserve"> behaviors that are highly associated with adolescence like risk-taking, sensation-seeking, and impulsiveness. </w:t>
      </w:r>
      <w:r w:rsidR="0040563F">
        <w:rPr>
          <w:i/>
          <w:iCs/>
          <w:color w:val="000000"/>
        </w:rPr>
        <w:t>Id.</w:t>
      </w:r>
      <w:r w:rsidR="0040563F">
        <w:rPr>
          <w:color w:val="000000"/>
        </w:rPr>
        <w:t xml:space="preserve"> </w:t>
      </w:r>
      <w:r w:rsidR="00520740">
        <w:rPr>
          <w:color w:val="000000"/>
        </w:rPr>
        <w:t>In this area, the neuroscience evidence also aligns with behavioral and cognitive evidence. Age-risk behavior profiles in areas like crime, accidental injury, and car accidents, for example</w:t>
      </w:r>
      <w:r w:rsidR="007B06C9">
        <w:rPr>
          <w:color w:val="000000"/>
        </w:rPr>
        <w:t>,</w:t>
      </w:r>
      <w:r w:rsidR="00520740">
        <w:rPr>
          <w:color w:val="000000"/>
        </w:rPr>
        <w:t xml:space="preserve"> follow similar peaks during late adolescence. </w:t>
      </w:r>
      <w:r w:rsidR="00520740" w:rsidRPr="00205F47">
        <w:rPr>
          <w:color w:val="000000"/>
        </w:rPr>
        <w:t>Daniel</w:t>
      </w:r>
      <w:r w:rsidR="00520740">
        <w:rPr>
          <w:color w:val="000000"/>
        </w:rPr>
        <w:t xml:space="preserve"> P. Keating, </w:t>
      </w:r>
      <w:hyperlink r:id="rId20" w:history="1">
        <w:r w:rsidR="00520740" w:rsidRPr="005770E0">
          <w:rPr>
            <w:rStyle w:val="Hyperlink"/>
            <w:i/>
            <w:iCs/>
          </w:rPr>
          <w:t>Summary of Adolescent Development and Neurodevelopmental Science in re Juvenile Life Without Parole</w:t>
        </w:r>
      </w:hyperlink>
      <w:r w:rsidR="00520740">
        <w:rPr>
          <w:color w:val="000000"/>
        </w:rPr>
        <w:t xml:space="preserve"> 9 (June 2025).</w:t>
      </w:r>
      <w:r w:rsidR="00F91460">
        <w:rPr>
          <w:color w:val="000000"/>
        </w:rPr>
        <w:t xml:space="preserve"> </w:t>
      </w:r>
    </w:p>
    <w:p w14:paraId="7A6AE38F" w14:textId="04804E0A" w:rsidR="003B6737" w:rsidRDefault="004E7F76" w:rsidP="00F91460">
      <w:pPr>
        <w:spacing w:line="480" w:lineRule="auto"/>
        <w:ind w:firstLine="720"/>
        <w:jc w:val="both"/>
        <w:textAlignment w:val="baseline"/>
        <w:rPr>
          <w:color w:val="000000"/>
        </w:rPr>
      </w:pPr>
      <w:r>
        <w:rPr>
          <w:color w:val="000000"/>
        </w:rPr>
        <w:t xml:space="preserve">The developmental maturity mismatch is directly applicable to the </w:t>
      </w:r>
      <w:r w:rsidR="00915334">
        <w:rPr>
          <w:color w:val="000000"/>
        </w:rPr>
        <w:t xml:space="preserve">issue </w:t>
      </w:r>
      <w:r>
        <w:rPr>
          <w:color w:val="000000"/>
        </w:rPr>
        <w:t xml:space="preserve">of foreseeability </w:t>
      </w:r>
      <w:r w:rsidR="00915334">
        <w:rPr>
          <w:color w:val="000000"/>
        </w:rPr>
        <w:t>that is part of</w:t>
      </w:r>
      <w:r>
        <w:rPr>
          <w:color w:val="000000"/>
        </w:rPr>
        <w:t xml:space="preserve"> the “in furtherance” element of </w:t>
      </w:r>
      <w:hyperlink r:id="rId21" w:history="1">
        <w:r w:rsidRPr="004F223B">
          <w:rPr>
            <w:color w:val="1155CC"/>
            <w:u w:val="single"/>
          </w:rPr>
          <w:t>N.Y. Penal Law § 125.25(3)</w:t>
        </w:r>
      </w:hyperlink>
      <w:r w:rsidRPr="004F223B">
        <w:rPr>
          <w:color w:val="000000"/>
        </w:rPr>
        <w:t>.</w:t>
      </w:r>
      <w:r>
        <w:rPr>
          <w:color w:val="000000"/>
        </w:rPr>
        <w:t xml:space="preserve"> Juveniles are biologically less capable than adults of anticipating the consequences of their actions or understanding the risks involved in complex situations. These well-established neurological differences mean that juveniles are less able to foresee that their participation in a felony could result in death, as is required by the statute. Without expert testimony explaining these differences to the factfinder, the unique limitations of </w:t>
      </w:r>
      <w:r w:rsidR="00C81156">
        <w:rPr>
          <w:color w:val="000000"/>
        </w:rPr>
        <w:t>juveniles’</w:t>
      </w:r>
      <w:r>
        <w:rPr>
          <w:color w:val="000000"/>
        </w:rPr>
        <w:t xml:space="preserve"> cognitive development would be overlooked, denying </w:t>
      </w:r>
      <w:r w:rsidRPr="007107A4">
        <w:rPr>
          <w:color w:val="000000"/>
          <w:highlight w:val="yellow"/>
        </w:rPr>
        <w:t>[Client]</w:t>
      </w:r>
      <w:r>
        <w:rPr>
          <w:color w:val="000000"/>
        </w:rPr>
        <w:t xml:space="preserve"> the opportunity to fairly contest the </w:t>
      </w:r>
      <w:r w:rsidR="00915334">
        <w:rPr>
          <w:color w:val="000000"/>
        </w:rPr>
        <w:t xml:space="preserve">State’s </w:t>
      </w:r>
      <w:r>
        <w:rPr>
          <w:color w:val="000000"/>
        </w:rPr>
        <w:t xml:space="preserve">assertion that </w:t>
      </w:r>
      <w:r w:rsidRPr="007107A4">
        <w:rPr>
          <w:color w:val="000000"/>
          <w:highlight w:val="yellow"/>
        </w:rPr>
        <w:t>[he/she/they]</w:t>
      </w:r>
      <w:r>
        <w:rPr>
          <w:color w:val="000000"/>
        </w:rPr>
        <w:t xml:space="preserve"> could have reasonably foreseen a fatal outcome. </w:t>
      </w:r>
    </w:p>
    <w:p w14:paraId="46FE1F98" w14:textId="3262319C" w:rsidR="004E1BB4" w:rsidRPr="007107A4" w:rsidRDefault="00C4131E" w:rsidP="007107A4">
      <w:pPr>
        <w:pStyle w:val="ListParagraph"/>
        <w:numPr>
          <w:ilvl w:val="0"/>
          <w:numId w:val="33"/>
        </w:numPr>
        <w:textAlignment w:val="baseline"/>
        <w:rPr>
          <w:b/>
          <w:bCs/>
          <w:color w:val="000000"/>
        </w:rPr>
      </w:pPr>
      <w:r w:rsidRPr="007107A4">
        <w:rPr>
          <w:b/>
          <w:bCs/>
          <w:color w:val="000000"/>
        </w:rPr>
        <w:t xml:space="preserve">Evidentiary and </w:t>
      </w:r>
      <w:r w:rsidR="00915334">
        <w:rPr>
          <w:b/>
          <w:bCs/>
          <w:color w:val="000000"/>
        </w:rPr>
        <w:t>c</w:t>
      </w:r>
      <w:r w:rsidRPr="007107A4">
        <w:rPr>
          <w:b/>
          <w:bCs/>
          <w:color w:val="000000"/>
        </w:rPr>
        <w:t xml:space="preserve">onstitutional </w:t>
      </w:r>
      <w:r w:rsidR="00915334">
        <w:rPr>
          <w:b/>
          <w:bCs/>
          <w:color w:val="000000"/>
        </w:rPr>
        <w:t>s</w:t>
      </w:r>
      <w:r w:rsidRPr="007107A4">
        <w:rPr>
          <w:b/>
          <w:bCs/>
          <w:color w:val="000000"/>
        </w:rPr>
        <w:t xml:space="preserve">tandards </w:t>
      </w:r>
      <w:r w:rsidR="00915334">
        <w:rPr>
          <w:b/>
          <w:bCs/>
          <w:color w:val="000000"/>
        </w:rPr>
        <w:t>s</w:t>
      </w:r>
      <w:r w:rsidRPr="007107A4">
        <w:rPr>
          <w:b/>
          <w:bCs/>
          <w:color w:val="000000"/>
        </w:rPr>
        <w:t xml:space="preserve">upport the </w:t>
      </w:r>
      <w:r w:rsidR="00915334">
        <w:rPr>
          <w:b/>
          <w:bCs/>
          <w:color w:val="000000"/>
        </w:rPr>
        <w:t>a</w:t>
      </w:r>
      <w:r w:rsidRPr="007107A4">
        <w:rPr>
          <w:b/>
          <w:bCs/>
          <w:color w:val="000000"/>
        </w:rPr>
        <w:t xml:space="preserve">dmission and </w:t>
      </w:r>
      <w:r w:rsidR="00915334">
        <w:rPr>
          <w:b/>
          <w:bCs/>
          <w:color w:val="000000"/>
        </w:rPr>
        <w:t>f</w:t>
      </w:r>
      <w:r w:rsidRPr="007107A4">
        <w:rPr>
          <w:b/>
          <w:bCs/>
          <w:color w:val="000000"/>
        </w:rPr>
        <w:t xml:space="preserve">unding of </w:t>
      </w:r>
      <w:r w:rsidR="00915334">
        <w:rPr>
          <w:b/>
          <w:bCs/>
          <w:color w:val="000000"/>
        </w:rPr>
        <w:t>j</w:t>
      </w:r>
      <w:r w:rsidR="00915334" w:rsidRPr="007107A4">
        <w:rPr>
          <w:b/>
          <w:bCs/>
          <w:color w:val="000000"/>
        </w:rPr>
        <w:t xml:space="preserve">uvenile </w:t>
      </w:r>
      <w:r w:rsidR="00915334">
        <w:rPr>
          <w:b/>
          <w:bCs/>
          <w:color w:val="000000"/>
        </w:rPr>
        <w:t>b</w:t>
      </w:r>
      <w:r w:rsidR="00915334" w:rsidRPr="007107A4">
        <w:rPr>
          <w:b/>
          <w:bCs/>
          <w:color w:val="000000"/>
        </w:rPr>
        <w:t xml:space="preserve">rain </w:t>
      </w:r>
      <w:r w:rsidR="00915334">
        <w:rPr>
          <w:b/>
          <w:bCs/>
          <w:color w:val="000000"/>
        </w:rPr>
        <w:t>s</w:t>
      </w:r>
      <w:r w:rsidR="00915334" w:rsidRPr="007107A4">
        <w:rPr>
          <w:b/>
          <w:bCs/>
          <w:color w:val="000000"/>
        </w:rPr>
        <w:t xml:space="preserve">cience </w:t>
      </w:r>
      <w:r w:rsidR="00915334">
        <w:rPr>
          <w:b/>
          <w:bCs/>
          <w:color w:val="000000"/>
        </w:rPr>
        <w:t>e</w:t>
      </w:r>
      <w:r w:rsidR="00915334" w:rsidRPr="007107A4">
        <w:rPr>
          <w:b/>
          <w:bCs/>
          <w:color w:val="000000"/>
        </w:rPr>
        <w:t xml:space="preserve">xpert </w:t>
      </w:r>
      <w:r w:rsidR="00915334">
        <w:rPr>
          <w:b/>
          <w:bCs/>
          <w:color w:val="000000"/>
        </w:rPr>
        <w:t>w</w:t>
      </w:r>
      <w:r w:rsidR="00915334" w:rsidRPr="007107A4">
        <w:rPr>
          <w:b/>
          <w:bCs/>
          <w:color w:val="000000"/>
        </w:rPr>
        <w:t xml:space="preserve">itnesses </w:t>
      </w:r>
      <w:r w:rsidRPr="007107A4">
        <w:rPr>
          <w:b/>
          <w:bCs/>
          <w:color w:val="000000"/>
        </w:rPr>
        <w:t xml:space="preserve">in New York </w:t>
      </w:r>
      <w:r w:rsidR="00915334">
        <w:rPr>
          <w:b/>
          <w:bCs/>
          <w:color w:val="000000"/>
        </w:rPr>
        <w:t>c</w:t>
      </w:r>
      <w:r w:rsidR="00915334" w:rsidRPr="007107A4">
        <w:rPr>
          <w:b/>
          <w:bCs/>
          <w:color w:val="000000"/>
        </w:rPr>
        <w:t>ourts</w:t>
      </w:r>
      <w:r w:rsidRPr="007107A4">
        <w:rPr>
          <w:b/>
          <w:bCs/>
          <w:color w:val="000000"/>
        </w:rPr>
        <w:t>. </w:t>
      </w:r>
    </w:p>
    <w:p w14:paraId="187297A2" w14:textId="77777777" w:rsidR="00111EF2" w:rsidRPr="004F223B" w:rsidRDefault="00111EF2" w:rsidP="00111EF2">
      <w:pPr>
        <w:ind w:left="360"/>
        <w:textAlignment w:val="baseline"/>
        <w:rPr>
          <w:b/>
          <w:bCs/>
          <w:color w:val="000000"/>
        </w:rPr>
      </w:pPr>
    </w:p>
    <w:p w14:paraId="4ABE5088" w14:textId="3D183893" w:rsidR="004E7E56" w:rsidRDefault="00C4131E" w:rsidP="004E7F76">
      <w:pPr>
        <w:spacing w:line="480" w:lineRule="auto"/>
        <w:ind w:firstLine="720"/>
        <w:jc w:val="both"/>
        <w:textAlignment w:val="baseline"/>
        <w:rPr>
          <w:b/>
          <w:bCs/>
          <w:color w:val="000000"/>
        </w:rPr>
      </w:pPr>
      <w:r w:rsidRPr="004F223B">
        <w:rPr>
          <w:color w:val="000000"/>
        </w:rPr>
        <w:t xml:space="preserve">In New York, the admissibility of expert testimony is governed by the test established in </w:t>
      </w:r>
      <w:r w:rsidRPr="004F223B">
        <w:rPr>
          <w:i/>
          <w:iCs/>
          <w:color w:val="000000"/>
        </w:rPr>
        <w:t>Frye v. United States</w:t>
      </w:r>
      <w:r w:rsidRPr="004F223B">
        <w:rPr>
          <w:color w:val="000000"/>
        </w:rPr>
        <w:t>, 293 F</w:t>
      </w:r>
      <w:r w:rsidR="00915334">
        <w:rPr>
          <w:color w:val="000000"/>
        </w:rPr>
        <w:t>.</w:t>
      </w:r>
      <w:r w:rsidRPr="004F223B">
        <w:rPr>
          <w:color w:val="000000"/>
        </w:rPr>
        <w:t xml:space="preserve"> 1013 (1923). Under the </w:t>
      </w:r>
      <w:r w:rsidRPr="004F223B">
        <w:rPr>
          <w:i/>
          <w:iCs/>
          <w:color w:val="000000"/>
        </w:rPr>
        <w:t>Frye</w:t>
      </w:r>
      <w:r w:rsidRPr="004F223B">
        <w:rPr>
          <w:color w:val="000000"/>
        </w:rPr>
        <w:t xml:space="preserve"> standard, expert testimony based on scientific principles is admissible only if the principle</w:t>
      </w:r>
      <w:r w:rsidR="00915334">
        <w:rPr>
          <w:color w:val="000000"/>
        </w:rPr>
        <w:t>s</w:t>
      </w:r>
      <w:r w:rsidRPr="004F223B">
        <w:rPr>
          <w:color w:val="000000"/>
        </w:rPr>
        <w:t xml:space="preserve"> ha</w:t>
      </w:r>
      <w:r w:rsidR="00915334">
        <w:rPr>
          <w:color w:val="000000"/>
        </w:rPr>
        <w:t>ve</w:t>
      </w:r>
      <w:r w:rsidRPr="004F223B">
        <w:rPr>
          <w:color w:val="000000"/>
        </w:rPr>
        <w:t xml:space="preserve"> gained general acceptance in the relevant scientific or technical community. The burden of proving general acceptance rests on the party offering </w:t>
      </w:r>
      <w:proofErr w:type="gramStart"/>
      <w:r w:rsidRPr="004F223B">
        <w:rPr>
          <w:color w:val="000000"/>
        </w:rPr>
        <w:t>the expert</w:t>
      </w:r>
      <w:proofErr w:type="gramEnd"/>
      <w:r w:rsidRPr="004F223B">
        <w:rPr>
          <w:color w:val="000000"/>
        </w:rPr>
        <w:t xml:space="preserve"> testimony. </w:t>
      </w:r>
      <w:r w:rsidRPr="004F223B">
        <w:rPr>
          <w:i/>
          <w:iCs/>
          <w:color w:val="000000"/>
        </w:rPr>
        <w:t>Id. </w:t>
      </w:r>
      <w:r w:rsidRPr="004F223B">
        <w:rPr>
          <w:color w:val="000000"/>
        </w:rPr>
        <w:t xml:space="preserve">New York State places the question of whether an expert’s testimony is admissible within the discretion of the trial court. </w:t>
      </w:r>
      <w:r w:rsidRPr="004E7E56">
        <w:rPr>
          <w:i/>
          <w:iCs/>
          <w:color w:val="000000"/>
        </w:rPr>
        <w:t>Matter of Ariel R</w:t>
      </w:r>
      <w:r w:rsidRPr="004F223B">
        <w:rPr>
          <w:color w:val="000000"/>
        </w:rPr>
        <w:t xml:space="preserve">., 950 N.Y.S.2d </w:t>
      </w:r>
      <w:r w:rsidRPr="004F223B">
        <w:rPr>
          <w:color w:val="000000"/>
        </w:rPr>
        <w:lastRenderedPageBreak/>
        <w:t>17, 21 (</w:t>
      </w:r>
      <w:r w:rsidR="000853BF">
        <w:rPr>
          <w:color w:val="000000"/>
        </w:rPr>
        <w:t>2012</w:t>
      </w:r>
      <w:r w:rsidRPr="004F223B">
        <w:rPr>
          <w:color w:val="000000"/>
        </w:rPr>
        <w:t>) (“The admissibility and bounds of expert testimony are addressed primarily to the sound discretion of the trial court.”). </w:t>
      </w:r>
    </w:p>
    <w:p w14:paraId="7C5C04DE" w14:textId="4558B323" w:rsidR="003020A8" w:rsidRDefault="004E7E56" w:rsidP="005A290A">
      <w:pPr>
        <w:spacing w:line="480" w:lineRule="auto"/>
        <w:ind w:firstLine="720"/>
        <w:jc w:val="both"/>
        <w:textAlignment w:val="baseline"/>
        <w:rPr>
          <w:rFonts w:asciiTheme="majorBidi" w:hAnsiTheme="majorBidi" w:cstheme="majorBidi"/>
          <w:color w:val="000000" w:themeColor="text1"/>
        </w:rPr>
      </w:pPr>
      <w:r>
        <w:rPr>
          <w:color w:val="000000"/>
        </w:rPr>
        <w:t>Juvenile brain science testimony is generally accepted</w:t>
      </w:r>
      <w:r w:rsidR="00C4131E" w:rsidRPr="004E7E56">
        <w:rPr>
          <w:color w:val="000000"/>
        </w:rPr>
        <w:t xml:space="preserve"> </w:t>
      </w:r>
      <w:r>
        <w:rPr>
          <w:color w:val="000000"/>
        </w:rPr>
        <w:t xml:space="preserve">in other stages of the criminal process. </w:t>
      </w:r>
      <w:r>
        <w:rPr>
          <w:i/>
          <w:iCs/>
          <w:color w:val="000000"/>
        </w:rPr>
        <w:t xml:space="preserve">See, e.g., </w:t>
      </w:r>
      <w:r w:rsidR="00C4131E" w:rsidRPr="004F223B">
        <w:rPr>
          <w:i/>
          <w:iCs/>
          <w:color w:val="000000"/>
        </w:rPr>
        <w:t>Miller v. Alabama</w:t>
      </w:r>
      <w:r w:rsidR="00C4131E" w:rsidRPr="004F223B">
        <w:rPr>
          <w:color w:val="000000"/>
        </w:rPr>
        <w:t xml:space="preserve">, 567 U.S. </w:t>
      </w:r>
      <w:r w:rsidR="00CD59A9">
        <w:rPr>
          <w:color w:val="000000"/>
        </w:rPr>
        <w:t>460,</w:t>
      </w:r>
      <w:r w:rsidR="00C4131E" w:rsidRPr="004F223B">
        <w:rPr>
          <w:color w:val="000000"/>
        </w:rPr>
        <w:t xml:space="preserve"> </w:t>
      </w:r>
      <w:r w:rsidR="00CD59A9">
        <w:rPr>
          <w:color w:val="000000"/>
        </w:rPr>
        <w:t>490 (2012)</w:t>
      </w:r>
      <w:r>
        <w:rPr>
          <w:color w:val="000000"/>
        </w:rPr>
        <w:t xml:space="preserve"> (noting </w:t>
      </w:r>
      <w:r w:rsidR="00C4131E" w:rsidRPr="004F223B">
        <w:rPr>
          <w:color w:val="000000"/>
        </w:rPr>
        <w:t>that juveniles are less likely to exhibit "irretrievably depraved character" due to fundamental differences in their brain development compared to adults, as supported by psychology and brain science</w:t>
      </w:r>
      <w:r>
        <w:rPr>
          <w:color w:val="000000"/>
        </w:rPr>
        <w:t xml:space="preserve">). </w:t>
      </w:r>
      <w:r w:rsidR="005A290A">
        <w:rPr>
          <w:color w:val="000000"/>
        </w:rPr>
        <w:t xml:space="preserve">New York courts have also generally found that cognition experts are accepted under the </w:t>
      </w:r>
      <w:r w:rsidR="005A290A">
        <w:rPr>
          <w:i/>
          <w:iCs/>
          <w:color w:val="000000"/>
        </w:rPr>
        <w:t xml:space="preserve">Frye </w:t>
      </w:r>
      <w:r w:rsidR="005A290A">
        <w:rPr>
          <w:color w:val="000000"/>
        </w:rPr>
        <w:t xml:space="preserve">standard. </w:t>
      </w:r>
      <w:r w:rsidR="003020A8" w:rsidRPr="006500A6">
        <w:rPr>
          <w:rFonts w:asciiTheme="majorBidi" w:hAnsiTheme="majorBidi" w:cstheme="majorBidi"/>
          <w:color w:val="000000" w:themeColor="text1"/>
        </w:rPr>
        <w:t xml:space="preserve">For example, in </w:t>
      </w:r>
      <w:r w:rsidR="003020A8" w:rsidRPr="006500A6">
        <w:rPr>
          <w:rFonts w:asciiTheme="majorBidi" w:hAnsiTheme="majorBidi" w:cstheme="majorBidi"/>
          <w:i/>
          <w:iCs/>
          <w:color w:val="000000" w:themeColor="text1"/>
          <w:bdr w:val="none" w:sz="0" w:space="0" w:color="auto" w:frame="1"/>
        </w:rPr>
        <w:t>People v. Jones</w:t>
      </w:r>
      <w:r w:rsidR="003020A8" w:rsidRPr="006500A6">
        <w:rPr>
          <w:rFonts w:asciiTheme="majorBidi" w:hAnsiTheme="majorBidi" w:cstheme="majorBidi"/>
          <w:color w:val="000000" w:themeColor="text1"/>
          <w:bdr w:val="none" w:sz="0" w:space="0" w:color="auto" w:frame="1"/>
        </w:rPr>
        <w:t xml:space="preserve">, </w:t>
      </w:r>
      <w:r w:rsidR="003020A8" w:rsidRPr="006500A6">
        <w:rPr>
          <w:rFonts w:asciiTheme="majorBidi" w:hAnsiTheme="majorBidi" w:cstheme="majorBidi"/>
          <w:color w:val="000000" w:themeColor="text1"/>
        </w:rPr>
        <w:t xml:space="preserve">the court held that expert testimony on the effects of brain damage and alcoholism on cognitive abilities was crucial to the defendant's justification defense, as these issues were beyond the jury's common knowledge. </w:t>
      </w:r>
      <w:r w:rsidR="007739D9" w:rsidRPr="007739D9">
        <w:t>620 N.Y.S.2d 656</w:t>
      </w:r>
      <w:r w:rsidR="007739D9">
        <w:t xml:space="preserve"> </w:t>
      </w:r>
      <w:r w:rsidR="00C81156">
        <w:t>(1994)</w:t>
      </w:r>
      <w:r w:rsidR="003020A8" w:rsidRPr="006500A6">
        <w:rPr>
          <w:rFonts w:asciiTheme="majorBidi" w:hAnsiTheme="majorBidi" w:cstheme="majorBidi"/>
          <w:color w:val="000000" w:themeColor="text1"/>
        </w:rPr>
        <w:t>.</w:t>
      </w:r>
      <w:r w:rsidR="005A290A">
        <w:rPr>
          <w:rFonts w:asciiTheme="majorBidi" w:hAnsiTheme="majorBidi" w:cstheme="majorBidi"/>
          <w:color w:val="000000" w:themeColor="text1"/>
        </w:rPr>
        <w:t xml:space="preserve"> </w:t>
      </w:r>
    </w:p>
    <w:p w14:paraId="1397145D" w14:textId="77777777" w:rsidR="00933905" w:rsidRDefault="00287240" w:rsidP="00287240">
      <w:pPr>
        <w:spacing w:line="480" w:lineRule="auto"/>
        <w:ind w:firstLine="720"/>
        <w:jc w:val="both"/>
        <w:textAlignment w:val="baseline"/>
        <w:rPr>
          <w:color w:val="000000"/>
        </w:rPr>
      </w:pPr>
      <w:r>
        <w:rPr>
          <w:rFonts w:asciiTheme="majorBidi" w:hAnsiTheme="majorBidi" w:cstheme="majorBidi"/>
          <w:color w:val="000000" w:themeColor="text1"/>
        </w:rPr>
        <w:t xml:space="preserve">Testimony by an expert </w:t>
      </w:r>
      <w:r w:rsidRPr="00287240">
        <w:rPr>
          <w:rFonts w:asciiTheme="majorBidi" w:hAnsiTheme="majorBidi" w:cstheme="majorBidi"/>
          <w:color w:val="000000" w:themeColor="text1"/>
        </w:rPr>
        <w:t xml:space="preserve">in juvenile brain development meets the </w:t>
      </w:r>
      <w:r w:rsidRPr="00287240">
        <w:rPr>
          <w:rFonts w:asciiTheme="majorBidi" w:hAnsiTheme="majorBidi" w:cstheme="majorBidi"/>
          <w:i/>
          <w:iCs/>
          <w:color w:val="000000" w:themeColor="text1"/>
        </w:rPr>
        <w:t xml:space="preserve">Frye </w:t>
      </w:r>
      <w:r w:rsidRPr="00287240">
        <w:rPr>
          <w:rFonts w:asciiTheme="majorBidi" w:hAnsiTheme="majorBidi" w:cstheme="majorBidi"/>
          <w:color w:val="000000" w:themeColor="text1"/>
        </w:rPr>
        <w:t>standard and is well within the court’s discretion to admit. The principles underlying adolescent neurodevelopment and its impact on cognitive capacities have gained widespread acceptance in the scientific and legal communities</w:t>
      </w:r>
      <w:r>
        <w:rPr>
          <w:rFonts w:asciiTheme="majorBidi" w:hAnsiTheme="majorBidi" w:cstheme="majorBidi"/>
          <w:color w:val="000000" w:themeColor="text1"/>
        </w:rPr>
        <w:t xml:space="preserve">. </w:t>
      </w:r>
      <w:r>
        <w:rPr>
          <w:rFonts w:asciiTheme="majorBidi" w:hAnsiTheme="majorBidi" w:cstheme="majorBidi"/>
          <w:i/>
          <w:iCs/>
          <w:color w:val="000000" w:themeColor="text1"/>
        </w:rPr>
        <w:t>See Roper v. Simmons,</w:t>
      </w:r>
      <w:r w:rsidR="00CD59A9">
        <w:rPr>
          <w:rFonts w:asciiTheme="majorBidi" w:hAnsiTheme="majorBidi" w:cstheme="majorBidi"/>
          <w:i/>
          <w:iCs/>
          <w:color w:val="000000" w:themeColor="text1"/>
        </w:rPr>
        <w:t xml:space="preserve"> </w:t>
      </w:r>
      <w:r w:rsidR="00CD59A9" w:rsidRPr="00CD59A9">
        <w:rPr>
          <w:rFonts w:asciiTheme="majorBidi" w:hAnsiTheme="majorBidi" w:cstheme="majorBidi"/>
          <w:color w:val="000000" w:themeColor="text1"/>
        </w:rPr>
        <w:t>543 U.S. 551</w:t>
      </w:r>
      <w:r w:rsidR="00CD59A9">
        <w:rPr>
          <w:rFonts w:asciiTheme="majorBidi" w:hAnsiTheme="majorBidi" w:cstheme="majorBidi"/>
          <w:color w:val="000000" w:themeColor="text1"/>
        </w:rPr>
        <w:t xml:space="preserve"> </w:t>
      </w:r>
      <w:r w:rsidR="00CD59A9" w:rsidRPr="00CD59A9">
        <w:rPr>
          <w:rFonts w:asciiTheme="majorBidi" w:hAnsiTheme="majorBidi" w:cstheme="majorBidi"/>
          <w:color w:val="000000" w:themeColor="text1"/>
        </w:rPr>
        <w:t>(2005)</w:t>
      </w:r>
      <w:r w:rsidR="00CD59A9">
        <w:rPr>
          <w:rFonts w:asciiTheme="majorBidi" w:hAnsiTheme="majorBidi" w:cstheme="majorBidi"/>
          <w:color w:val="000000" w:themeColor="text1"/>
        </w:rPr>
        <w:t>;</w:t>
      </w:r>
      <w:r>
        <w:rPr>
          <w:rFonts w:asciiTheme="majorBidi" w:hAnsiTheme="majorBidi" w:cstheme="majorBidi"/>
          <w:i/>
          <w:iCs/>
          <w:color w:val="000000" w:themeColor="text1"/>
        </w:rPr>
        <w:t xml:space="preserve"> Graham v. Florida</w:t>
      </w:r>
      <w:r w:rsidR="00CD59A9">
        <w:rPr>
          <w:rFonts w:asciiTheme="majorBidi" w:hAnsiTheme="majorBidi" w:cstheme="majorBidi"/>
          <w:color w:val="000000" w:themeColor="text1"/>
        </w:rPr>
        <w:t xml:space="preserve">, </w:t>
      </w:r>
      <w:r w:rsidR="00CD59A9" w:rsidRPr="00CD59A9">
        <w:rPr>
          <w:rFonts w:asciiTheme="majorBidi" w:hAnsiTheme="majorBidi" w:cstheme="majorBidi"/>
          <w:color w:val="000000" w:themeColor="text1"/>
        </w:rPr>
        <w:t>560 U.S. 48</w:t>
      </w:r>
      <w:r w:rsidR="00CD59A9">
        <w:rPr>
          <w:rFonts w:asciiTheme="majorBidi" w:hAnsiTheme="majorBidi" w:cstheme="majorBidi"/>
          <w:color w:val="000000" w:themeColor="text1"/>
        </w:rPr>
        <w:t xml:space="preserve"> (2010</w:t>
      </w:r>
      <w:r w:rsidR="004E1BB4">
        <w:rPr>
          <w:rFonts w:asciiTheme="majorBidi" w:hAnsiTheme="majorBidi" w:cstheme="majorBidi"/>
          <w:color w:val="000000" w:themeColor="text1"/>
        </w:rPr>
        <w:t>)</w:t>
      </w:r>
      <w:r w:rsidR="004E1BB4" w:rsidRPr="007107A4">
        <w:rPr>
          <w:rFonts w:asciiTheme="majorBidi" w:hAnsiTheme="majorBidi" w:cstheme="majorBidi"/>
          <w:color w:val="000000" w:themeColor="text1"/>
        </w:rPr>
        <w:t>;</w:t>
      </w:r>
      <w:r w:rsidR="004E1BB4">
        <w:rPr>
          <w:rFonts w:asciiTheme="majorBidi" w:hAnsiTheme="majorBidi" w:cstheme="majorBidi"/>
          <w:i/>
          <w:iCs/>
          <w:color w:val="000000" w:themeColor="text1"/>
        </w:rPr>
        <w:t xml:space="preserve"> </w:t>
      </w:r>
      <w:r w:rsidRPr="00287240">
        <w:rPr>
          <w:rFonts w:asciiTheme="majorBidi" w:hAnsiTheme="majorBidi" w:cstheme="majorBidi"/>
          <w:i/>
          <w:iCs/>
          <w:color w:val="000000" w:themeColor="text1"/>
        </w:rPr>
        <w:t>Miller v. Alabama</w:t>
      </w:r>
      <w:r w:rsidR="00CD59A9">
        <w:rPr>
          <w:rFonts w:asciiTheme="majorBidi" w:hAnsiTheme="majorBidi" w:cstheme="majorBidi"/>
          <w:color w:val="000000" w:themeColor="text1"/>
        </w:rPr>
        <w:t xml:space="preserve">, </w:t>
      </w:r>
      <w:r w:rsidR="00CD59A9" w:rsidRPr="004F223B">
        <w:rPr>
          <w:color w:val="000000"/>
        </w:rPr>
        <w:t xml:space="preserve">567 U.S. </w:t>
      </w:r>
      <w:r w:rsidR="00CD59A9">
        <w:rPr>
          <w:color w:val="000000"/>
        </w:rPr>
        <w:t>460 (2012)</w:t>
      </w:r>
      <w:r>
        <w:rPr>
          <w:rFonts w:asciiTheme="majorBidi" w:hAnsiTheme="majorBidi" w:cstheme="majorBidi"/>
          <w:color w:val="000000" w:themeColor="text1"/>
        </w:rPr>
        <w:t xml:space="preserve">. As these landmark decisions have recognized, juvenile neuroscience and behavioral science only </w:t>
      </w:r>
      <w:r w:rsidR="00CD59A9">
        <w:rPr>
          <w:rFonts w:asciiTheme="majorBidi" w:hAnsiTheme="majorBidi" w:cstheme="majorBidi"/>
          <w:color w:val="000000" w:themeColor="text1"/>
        </w:rPr>
        <w:t>continue</w:t>
      </w:r>
      <w:r>
        <w:rPr>
          <w:rFonts w:asciiTheme="majorBidi" w:hAnsiTheme="majorBidi" w:cstheme="majorBidi"/>
          <w:color w:val="000000" w:themeColor="text1"/>
        </w:rPr>
        <w:t xml:space="preserve"> to advance. </w:t>
      </w:r>
      <w:r>
        <w:rPr>
          <w:rFonts w:asciiTheme="majorBidi" w:hAnsiTheme="majorBidi" w:cstheme="majorBidi"/>
          <w:i/>
          <w:iCs/>
          <w:color w:val="000000" w:themeColor="text1"/>
        </w:rPr>
        <w:t>See generally</w:t>
      </w:r>
      <w:r>
        <w:rPr>
          <w:rFonts w:asciiTheme="majorBidi" w:hAnsiTheme="majorBidi" w:cstheme="majorBidi"/>
          <w:color w:val="000000" w:themeColor="text1"/>
        </w:rPr>
        <w:t xml:space="preserve"> Laurence Steinberg, </w:t>
      </w:r>
      <w:hyperlink r:id="rId22" w:history="1">
        <w:r w:rsidRPr="00287240">
          <w:rPr>
            <w:rStyle w:val="Hyperlink"/>
            <w:rFonts w:asciiTheme="majorBidi" w:hAnsiTheme="majorBidi" w:cstheme="majorBidi"/>
            <w:i/>
            <w:iCs/>
          </w:rPr>
          <w:t>The Influence of Neuroscience on US Supreme Court Decisions about Adolescents’ Criminal Culpability</w:t>
        </w:r>
      </w:hyperlink>
      <w:r>
        <w:rPr>
          <w:rFonts w:asciiTheme="majorBidi" w:hAnsiTheme="majorBidi" w:cstheme="majorBidi"/>
          <w:color w:val="000000" w:themeColor="text1"/>
        </w:rPr>
        <w:t xml:space="preserve">, 14 </w:t>
      </w:r>
      <w:r w:rsidRPr="007107A4">
        <w:rPr>
          <w:rFonts w:asciiTheme="majorBidi" w:hAnsiTheme="majorBidi" w:cstheme="majorBidi"/>
          <w:smallCaps/>
          <w:color w:val="000000" w:themeColor="text1"/>
        </w:rPr>
        <w:t>Neuroscience</w:t>
      </w:r>
      <w:r>
        <w:rPr>
          <w:rFonts w:asciiTheme="majorBidi" w:hAnsiTheme="majorBidi" w:cstheme="majorBidi"/>
          <w:color w:val="000000" w:themeColor="text1"/>
        </w:rPr>
        <w:t xml:space="preserve"> 513 (2013). </w:t>
      </w:r>
      <w:r w:rsidR="006520CE" w:rsidRPr="006520CE">
        <w:rPr>
          <w:rFonts w:asciiTheme="majorBidi" w:hAnsiTheme="majorBidi" w:cstheme="majorBidi"/>
          <w:color w:val="000000" w:themeColor="text1"/>
        </w:rPr>
        <w:t xml:space="preserve">Because these concepts involve complex scientific knowledge far beyond the </w:t>
      </w:r>
      <w:r w:rsidR="007B06C9">
        <w:rPr>
          <w:rFonts w:asciiTheme="majorBidi" w:hAnsiTheme="majorBidi" w:cstheme="majorBidi"/>
          <w:color w:val="000000" w:themeColor="text1"/>
        </w:rPr>
        <w:t>common knowledge</w:t>
      </w:r>
      <w:r w:rsidR="007B06C9" w:rsidRPr="006520CE">
        <w:rPr>
          <w:rFonts w:asciiTheme="majorBidi" w:hAnsiTheme="majorBidi" w:cstheme="majorBidi"/>
          <w:color w:val="000000" w:themeColor="text1"/>
        </w:rPr>
        <w:t xml:space="preserve"> </w:t>
      </w:r>
      <w:r w:rsidR="006520CE" w:rsidRPr="006520CE">
        <w:rPr>
          <w:rFonts w:asciiTheme="majorBidi" w:hAnsiTheme="majorBidi" w:cstheme="majorBidi"/>
          <w:color w:val="000000" w:themeColor="text1"/>
        </w:rPr>
        <w:t>of ordinary jurors, only a qualified expert can reliably explain how [</w:t>
      </w:r>
      <w:r w:rsidR="006520CE" w:rsidRPr="006520CE">
        <w:rPr>
          <w:rFonts w:asciiTheme="majorBidi" w:hAnsiTheme="majorBidi" w:cstheme="majorBidi"/>
          <w:color w:val="000000" w:themeColor="text1"/>
          <w:highlight w:val="yellow"/>
        </w:rPr>
        <w:t>Client</w:t>
      </w:r>
      <w:r w:rsidR="006520CE" w:rsidRPr="006520CE">
        <w:rPr>
          <w:rFonts w:asciiTheme="majorBidi" w:hAnsiTheme="majorBidi" w:cstheme="majorBidi"/>
          <w:color w:val="000000" w:themeColor="text1"/>
        </w:rPr>
        <w:t>]’s age-specific cognitive limitations bear directly upon [</w:t>
      </w:r>
      <w:r w:rsidR="006520CE" w:rsidRPr="006520CE">
        <w:rPr>
          <w:rFonts w:asciiTheme="majorBidi" w:hAnsiTheme="majorBidi" w:cstheme="majorBidi"/>
          <w:color w:val="000000" w:themeColor="text1"/>
          <w:highlight w:val="yellow"/>
        </w:rPr>
        <w:t>his/her/their</w:t>
      </w:r>
      <w:r w:rsidR="006520CE" w:rsidRPr="006520CE">
        <w:rPr>
          <w:rFonts w:asciiTheme="majorBidi" w:hAnsiTheme="majorBidi" w:cstheme="majorBidi"/>
          <w:color w:val="000000" w:themeColor="text1"/>
        </w:rPr>
        <w:t xml:space="preserve">] ability to foresee consequences as required under </w:t>
      </w:r>
      <w:hyperlink r:id="rId23" w:history="1">
        <w:r w:rsidR="006520CE" w:rsidRPr="004F223B">
          <w:rPr>
            <w:color w:val="1155CC"/>
            <w:u w:val="single"/>
          </w:rPr>
          <w:t>N.Y. Penal Law § 125.25(3)</w:t>
        </w:r>
      </w:hyperlink>
      <w:r w:rsidR="006520CE" w:rsidRPr="004F223B">
        <w:rPr>
          <w:color w:val="000000"/>
        </w:rPr>
        <w:t>.</w:t>
      </w:r>
      <w:r w:rsidR="006520CE">
        <w:rPr>
          <w:color w:val="000000"/>
        </w:rPr>
        <w:t xml:space="preserve"> </w:t>
      </w:r>
    </w:p>
    <w:p w14:paraId="236DED75" w14:textId="4AC726E0" w:rsidR="00287240" w:rsidRDefault="006520CE" w:rsidP="004700BD">
      <w:pPr>
        <w:spacing w:line="480" w:lineRule="auto"/>
        <w:ind w:firstLine="720"/>
        <w:jc w:val="both"/>
        <w:textAlignment w:val="baseline"/>
        <w:rPr>
          <w:rFonts w:asciiTheme="majorBidi" w:hAnsiTheme="majorBidi" w:cstheme="majorBidi"/>
          <w:color w:val="000000" w:themeColor="text1"/>
        </w:rPr>
      </w:pPr>
      <w:r w:rsidRPr="006520CE">
        <w:rPr>
          <w:rFonts w:asciiTheme="majorBidi" w:hAnsiTheme="majorBidi" w:cstheme="majorBidi"/>
          <w:color w:val="000000" w:themeColor="text1"/>
        </w:rPr>
        <w:t>Absent such testimony, the factfinder would be left to speculate on matters that require specialized understanding, undermining the fairness of the proceedings and [</w:t>
      </w:r>
      <w:r w:rsidRPr="006520CE">
        <w:rPr>
          <w:rFonts w:asciiTheme="majorBidi" w:hAnsiTheme="majorBidi" w:cstheme="majorBidi"/>
          <w:color w:val="000000" w:themeColor="text1"/>
          <w:highlight w:val="yellow"/>
        </w:rPr>
        <w:t>Client</w:t>
      </w:r>
      <w:r w:rsidRPr="006520CE">
        <w:rPr>
          <w:rFonts w:asciiTheme="majorBidi" w:hAnsiTheme="majorBidi" w:cstheme="majorBidi"/>
          <w:color w:val="000000" w:themeColor="text1"/>
        </w:rPr>
        <w:t xml:space="preserve">]'s </w:t>
      </w:r>
      <w:r w:rsidRPr="006520CE">
        <w:rPr>
          <w:rFonts w:asciiTheme="majorBidi" w:hAnsiTheme="majorBidi" w:cstheme="majorBidi"/>
          <w:color w:val="000000" w:themeColor="text1"/>
        </w:rPr>
        <w:lastRenderedPageBreak/>
        <w:t>constitutional right to present an adequate defense.</w:t>
      </w:r>
      <w:r w:rsidR="006A5888">
        <w:rPr>
          <w:rFonts w:asciiTheme="majorBidi" w:hAnsiTheme="majorBidi" w:cstheme="majorBidi"/>
          <w:color w:val="000000" w:themeColor="text1"/>
        </w:rPr>
        <w:t xml:space="preserve"> The United States Supreme Court has long recognized that “[t]</w:t>
      </w:r>
      <w:r w:rsidR="006A5888" w:rsidRPr="006A5888">
        <w:rPr>
          <w:rFonts w:asciiTheme="majorBidi" w:hAnsiTheme="majorBidi" w:cstheme="majorBidi"/>
          <w:color w:val="000000" w:themeColor="text1"/>
        </w:rPr>
        <w:t>he right of an accused in a criminal trial to due process is, in essence, the right</w:t>
      </w:r>
      <w:r w:rsidR="006A5888">
        <w:rPr>
          <w:rFonts w:asciiTheme="majorBidi" w:hAnsiTheme="majorBidi" w:cstheme="majorBidi"/>
          <w:color w:val="000000" w:themeColor="text1"/>
        </w:rPr>
        <w:t xml:space="preserve"> </w:t>
      </w:r>
      <w:r w:rsidR="006A5888" w:rsidRPr="006A5888">
        <w:rPr>
          <w:rFonts w:asciiTheme="majorBidi" w:hAnsiTheme="majorBidi" w:cstheme="majorBidi"/>
          <w:color w:val="000000" w:themeColor="text1"/>
        </w:rPr>
        <w:t>to a fair opportunity to defend against the State's accusations</w:t>
      </w:r>
      <w:r w:rsidR="006A5888">
        <w:rPr>
          <w:rFonts w:asciiTheme="majorBidi" w:hAnsiTheme="majorBidi" w:cstheme="majorBidi"/>
          <w:color w:val="000000" w:themeColor="text1"/>
        </w:rPr>
        <w:t xml:space="preserve">.” </w:t>
      </w:r>
      <w:r w:rsidR="006A5888" w:rsidRPr="006A5888">
        <w:rPr>
          <w:rFonts w:asciiTheme="majorBidi" w:hAnsiTheme="majorBidi" w:cstheme="majorBidi"/>
          <w:i/>
          <w:iCs/>
          <w:color w:val="000000" w:themeColor="text1"/>
        </w:rPr>
        <w:t>Chambers v. Mississippi</w:t>
      </w:r>
      <w:r w:rsidR="006A5888" w:rsidRPr="006A5888">
        <w:rPr>
          <w:rFonts w:asciiTheme="majorBidi" w:hAnsiTheme="majorBidi" w:cstheme="majorBidi"/>
          <w:color w:val="000000" w:themeColor="text1"/>
        </w:rPr>
        <w:t>, 410 U.S. 284, 294 (1973)</w:t>
      </w:r>
      <w:r w:rsidR="006A5888">
        <w:rPr>
          <w:rFonts w:asciiTheme="majorBidi" w:hAnsiTheme="majorBidi" w:cstheme="majorBidi"/>
          <w:color w:val="000000" w:themeColor="text1"/>
        </w:rPr>
        <w:t xml:space="preserve">. </w:t>
      </w:r>
      <w:r w:rsidR="004700BD">
        <w:rPr>
          <w:rFonts w:asciiTheme="majorBidi" w:hAnsiTheme="majorBidi" w:cstheme="majorBidi"/>
          <w:color w:val="000000" w:themeColor="text1"/>
        </w:rPr>
        <w:t xml:space="preserve">That right </w:t>
      </w:r>
      <w:r w:rsidR="006A5888">
        <w:rPr>
          <w:rFonts w:asciiTheme="majorBidi" w:hAnsiTheme="majorBidi" w:cstheme="majorBidi"/>
          <w:color w:val="000000" w:themeColor="text1"/>
        </w:rPr>
        <w:t xml:space="preserve">includes the </w:t>
      </w:r>
      <w:r w:rsidR="004700BD">
        <w:rPr>
          <w:rFonts w:asciiTheme="majorBidi" w:hAnsiTheme="majorBidi" w:cstheme="majorBidi"/>
          <w:color w:val="000000" w:themeColor="text1"/>
        </w:rPr>
        <w:t>ability</w:t>
      </w:r>
      <w:r w:rsidR="006A5888">
        <w:rPr>
          <w:rFonts w:asciiTheme="majorBidi" w:hAnsiTheme="majorBidi" w:cstheme="majorBidi"/>
          <w:color w:val="000000" w:themeColor="text1"/>
        </w:rPr>
        <w:t xml:space="preserve"> to present expert testimony</w:t>
      </w:r>
      <w:r w:rsidR="004700BD">
        <w:rPr>
          <w:rFonts w:asciiTheme="majorBidi" w:hAnsiTheme="majorBidi" w:cstheme="majorBidi"/>
          <w:color w:val="000000" w:themeColor="text1"/>
        </w:rPr>
        <w:t xml:space="preserve"> central to the defense theory</w:t>
      </w:r>
      <w:r w:rsidR="006A5888">
        <w:rPr>
          <w:rFonts w:asciiTheme="majorBidi" w:hAnsiTheme="majorBidi" w:cstheme="majorBidi"/>
          <w:color w:val="000000" w:themeColor="text1"/>
        </w:rPr>
        <w:t xml:space="preserve">. </w:t>
      </w:r>
      <w:r w:rsidR="006A5888" w:rsidRPr="006A5888">
        <w:rPr>
          <w:rFonts w:asciiTheme="majorBidi" w:hAnsiTheme="majorBidi" w:cstheme="majorBidi"/>
          <w:i/>
          <w:iCs/>
          <w:color w:val="000000" w:themeColor="text1"/>
        </w:rPr>
        <w:t>Crane v. Kentucky</w:t>
      </w:r>
      <w:r w:rsidR="006A5888" w:rsidRPr="006A5888">
        <w:rPr>
          <w:rFonts w:asciiTheme="majorBidi" w:hAnsiTheme="majorBidi" w:cstheme="majorBidi"/>
          <w:color w:val="000000" w:themeColor="text1"/>
        </w:rPr>
        <w:t>, 476 U.S. 683, 690 (1986)</w:t>
      </w:r>
      <w:r w:rsidR="006A5888">
        <w:rPr>
          <w:rFonts w:asciiTheme="majorBidi" w:hAnsiTheme="majorBidi" w:cstheme="majorBidi"/>
          <w:color w:val="000000" w:themeColor="text1"/>
        </w:rPr>
        <w:t>. Here, if [</w:t>
      </w:r>
      <w:r w:rsidR="006A5888" w:rsidRPr="006A5888">
        <w:rPr>
          <w:rFonts w:asciiTheme="majorBidi" w:hAnsiTheme="majorBidi" w:cstheme="majorBidi"/>
          <w:color w:val="000000" w:themeColor="text1"/>
          <w:highlight w:val="yellow"/>
        </w:rPr>
        <w:t>C</w:t>
      </w:r>
      <w:r w:rsidR="0058446B">
        <w:rPr>
          <w:rFonts w:asciiTheme="majorBidi" w:hAnsiTheme="majorBidi" w:cstheme="majorBidi"/>
          <w:color w:val="000000" w:themeColor="text1"/>
          <w:highlight w:val="yellow"/>
        </w:rPr>
        <w:t>lient</w:t>
      </w:r>
      <w:r w:rsidR="006A5888">
        <w:rPr>
          <w:rFonts w:asciiTheme="majorBidi" w:hAnsiTheme="majorBidi" w:cstheme="majorBidi"/>
          <w:color w:val="000000" w:themeColor="text1"/>
        </w:rPr>
        <w:t xml:space="preserve">] </w:t>
      </w:r>
      <w:r w:rsidR="0058446B">
        <w:rPr>
          <w:rFonts w:asciiTheme="majorBidi" w:hAnsiTheme="majorBidi" w:cstheme="majorBidi"/>
          <w:color w:val="000000" w:themeColor="text1"/>
        </w:rPr>
        <w:t xml:space="preserve">is </w:t>
      </w:r>
      <w:r w:rsidR="006A5888">
        <w:rPr>
          <w:rFonts w:asciiTheme="majorBidi" w:hAnsiTheme="majorBidi" w:cstheme="majorBidi"/>
          <w:color w:val="000000" w:themeColor="text1"/>
        </w:rPr>
        <w:t xml:space="preserve">precluded </w:t>
      </w:r>
      <w:r w:rsidR="004700BD">
        <w:rPr>
          <w:rFonts w:asciiTheme="majorBidi" w:hAnsiTheme="majorBidi" w:cstheme="majorBidi"/>
          <w:color w:val="000000" w:themeColor="text1"/>
        </w:rPr>
        <w:t>from</w:t>
      </w:r>
      <w:r w:rsidR="006A5888">
        <w:rPr>
          <w:rFonts w:asciiTheme="majorBidi" w:hAnsiTheme="majorBidi" w:cstheme="majorBidi"/>
          <w:color w:val="000000" w:themeColor="text1"/>
        </w:rPr>
        <w:t xml:space="preserve"> present</w:t>
      </w:r>
      <w:r w:rsidR="004700BD">
        <w:rPr>
          <w:rFonts w:asciiTheme="majorBidi" w:hAnsiTheme="majorBidi" w:cstheme="majorBidi"/>
          <w:color w:val="000000" w:themeColor="text1"/>
        </w:rPr>
        <w:t>ing</w:t>
      </w:r>
      <w:r w:rsidR="006A5888">
        <w:rPr>
          <w:rFonts w:asciiTheme="majorBidi" w:hAnsiTheme="majorBidi" w:cstheme="majorBidi"/>
          <w:color w:val="000000" w:themeColor="text1"/>
        </w:rPr>
        <w:t xml:space="preserve"> expert testimony concerning adolescent</w:t>
      </w:r>
      <w:r w:rsidR="004700BD">
        <w:rPr>
          <w:rFonts w:asciiTheme="majorBidi" w:hAnsiTheme="majorBidi" w:cstheme="majorBidi"/>
          <w:color w:val="000000" w:themeColor="text1"/>
        </w:rPr>
        <w:t>s’</w:t>
      </w:r>
      <w:r w:rsidR="006A5888">
        <w:rPr>
          <w:rFonts w:asciiTheme="majorBidi" w:hAnsiTheme="majorBidi" w:cstheme="majorBidi"/>
          <w:color w:val="000000" w:themeColor="text1"/>
        </w:rPr>
        <w:t xml:space="preserve"> limited capacity to foresee consequences, </w:t>
      </w:r>
      <w:r w:rsidR="004700BD">
        <w:rPr>
          <w:rFonts w:asciiTheme="majorBidi" w:hAnsiTheme="majorBidi" w:cstheme="majorBidi"/>
          <w:color w:val="000000" w:themeColor="text1"/>
        </w:rPr>
        <w:t>[</w:t>
      </w:r>
      <w:r w:rsidR="004700BD" w:rsidRPr="004700BD">
        <w:rPr>
          <w:rFonts w:asciiTheme="majorBidi" w:hAnsiTheme="majorBidi" w:cstheme="majorBidi"/>
          <w:color w:val="000000" w:themeColor="text1"/>
          <w:highlight w:val="yellow"/>
        </w:rPr>
        <w:t>C</w:t>
      </w:r>
      <w:r w:rsidR="0058446B">
        <w:rPr>
          <w:rFonts w:asciiTheme="majorBidi" w:hAnsiTheme="majorBidi" w:cstheme="majorBidi"/>
          <w:color w:val="000000" w:themeColor="text1"/>
          <w:highlight w:val="yellow"/>
        </w:rPr>
        <w:t>lient</w:t>
      </w:r>
      <w:r w:rsidR="004700BD">
        <w:rPr>
          <w:rFonts w:asciiTheme="majorBidi" w:hAnsiTheme="majorBidi" w:cstheme="majorBidi"/>
          <w:color w:val="000000" w:themeColor="text1"/>
        </w:rPr>
        <w:t xml:space="preserve">] will be deprived of the state and federal constitutional rights to present a complete defense and receive a fair trial. </w:t>
      </w:r>
    </w:p>
    <w:p w14:paraId="2C0F3CBB" w14:textId="0BD7A6D6" w:rsidR="004E1BB4" w:rsidRDefault="004E1BB4" w:rsidP="004E1BB4">
      <w:pPr>
        <w:pStyle w:val="ListParagraph"/>
        <w:numPr>
          <w:ilvl w:val="0"/>
          <w:numId w:val="33"/>
        </w:numPr>
        <w:textAlignment w:val="baseline"/>
        <w:rPr>
          <w:b/>
          <w:bCs/>
          <w:color w:val="000000"/>
        </w:rPr>
      </w:pPr>
      <w:r w:rsidRPr="007107A4">
        <w:rPr>
          <w:b/>
          <w:bCs/>
          <w:color w:val="000000"/>
          <w:highlight w:val="yellow"/>
        </w:rPr>
        <w:t>[</w:t>
      </w:r>
      <w:r>
        <w:rPr>
          <w:b/>
          <w:bCs/>
          <w:color w:val="000000"/>
          <w:highlight w:val="yellow"/>
        </w:rPr>
        <w:t>This section to be included i</w:t>
      </w:r>
      <w:r w:rsidRPr="007107A4">
        <w:rPr>
          <w:b/>
          <w:bCs/>
          <w:color w:val="000000"/>
          <w:highlight w:val="yellow"/>
        </w:rPr>
        <w:t>f Client is between 18 and 21:]</w:t>
      </w:r>
      <w:r>
        <w:rPr>
          <w:b/>
          <w:bCs/>
          <w:color w:val="000000"/>
        </w:rPr>
        <w:t xml:space="preserve"> The brain science supports the necessity of this sort of expert testimony for individuals, like </w:t>
      </w:r>
      <w:r w:rsidRPr="007107A4">
        <w:rPr>
          <w:b/>
          <w:bCs/>
          <w:color w:val="000000"/>
          <w:highlight w:val="yellow"/>
        </w:rPr>
        <w:t>[Client]</w:t>
      </w:r>
      <w:r>
        <w:rPr>
          <w:b/>
          <w:bCs/>
          <w:color w:val="000000"/>
        </w:rPr>
        <w:t>, who are between 18 and 21 years old.</w:t>
      </w:r>
    </w:p>
    <w:p w14:paraId="54665645" w14:textId="77777777" w:rsidR="003F4A63" w:rsidRDefault="003F4A63" w:rsidP="003F4A63">
      <w:pPr>
        <w:shd w:val="clear" w:color="auto" w:fill="FFFFFF"/>
        <w:spacing w:line="320" w:lineRule="atLeast"/>
        <w:rPr>
          <w:rFonts w:asciiTheme="majorBidi" w:hAnsiTheme="majorBidi" w:cstheme="majorBidi"/>
          <w:color w:val="000000"/>
        </w:rPr>
      </w:pPr>
    </w:p>
    <w:p w14:paraId="24ABE1C1" w14:textId="74DA54B0" w:rsidR="00817F2F" w:rsidRDefault="006520CE" w:rsidP="00817F2F">
      <w:pPr>
        <w:shd w:val="clear" w:color="auto" w:fill="FFFFFF"/>
        <w:spacing w:line="480" w:lineRule="auto"/>
        <w:ind w:firstLine="720"/>
        <w:jc w:val="both"/>
        <w:rPr>
          <w:rFonts w:ascii="Assistant" w:hAnsi="Assistant" w:cs="Assistant"/>
          <w:color w:val="002E5E"/>
          <w:shd w:val="clear" w:color="auto" w:fill="EDEDED"/>
        </w:rPr>
      </w:pPr>
      <w:r>
        <w:rPr>
          <w:rFonts w:asciiTheme="majorBidi" w:hAnsiTheme="majorBidi" w:cstheme="majorBidi"/>
          <w:color w:val="000000"/>
        </w:rPr>
        <w:t>Courts have widely recognized that “th</w:t>
      </w:r>
      <w:r w:rsidR="00BA12D8" w:rsidRPr="003F4A63">
        <w:rPr>
          <w:rFonts w:asciiTheme="majorBidi" w:hAnsiTheme="majorBidi" w:cstheme="majorBidi"/>
          <w:color w:val="000000"/>
        </w:rPr>
        <w:t xml:space="preserve">e qualities that distinguish juveniles from adults do not disappear when an individual turns </w:t>
      </w:r>
      <w:r w:rsidR="0058446B">
        <w:rPr>
          <w:rFonts w:asciiTheme="majorBidi" w:hAnsiTheme="majorBidi" w:cstheme="majorBidi"/>
          <w:color w:val="000000"/>
        </w:rPr>
        <w:t>18</w:t>
      </w:r>
      <w:r w:rsidR="00BA12D8" w:rsidRPr="003F4A63">
        <w:rPr>
          <w:rFonts w:asciiTheme="majorBidi" w:hAnsiTheme="majorBidi" w:cstheme="majorBidi"/>
          <w:color w:val="000000"/>
        </w:rPr>
        <w:t>.</w:t>
      </w:r>
      <w:r w:rsidR="004700BD">
        <w:rPr>
          <w:rFonts w:asciiTheme="majorBidi" w:hAnsiTheme="majorBidi" w:cstheme="majorBidi"/>
          <w:color w:val="000000"/>
        </w:rPr>
        <w:t>”</w:t>
      </w:r>
      <w:r w:rsidR="00BA12D8" w:rsidRPr="003F4A63">
        <w:rPr>
          <w:rFonts w:asciiTheme="majorBidi" w:hAnsiTheme="majorBidi" w:cstheme="majorBidi"/>
          <w:color w:val="000000"/>
        </w:rPr>
        <w:t xml:space="preserve"> </w:t>
      </w:r>
      <w:r w:rsidR="00BA12D8" w:rsidRPr="003F4A63">
        <w:rPr>
          <w:rFonts w:asciiTheme="majorBidi" w:hAnsiTheme="majorBidi" w:cstheme="majorBidi"/>
          <w:i/>
          <w:iCs/>
          <w:color w:val="000000"/>
        </w:rPr>
        <w:t>People v. Sanchez</w:t>
      </w:r>
      <w:r w:rsidR="00BA12D8" w:rsidRPr="003F4A63">
        <w:rPr>
          <w:rFonts w:asciiTheme="majorBidi" w:hAnsiTheme="majorBidi" w:cstheme="majorBidi"/>
          <w:color w:val="000000"/>
        </w:rPr>
        <w:t>, 63 Misc. 3d 938, 946, 98 N.Y.S.3d 719 (2019)</w:t>
      </w:r>
      <w:r>
        <w:rPr>
          <w:rFonts w:asciiTheme="majorBidi" w:hAnsiTheme="majorBidi" w:cstheme="majorBidi"/>
          <w:color w:val="000000"/>
        </w:rPr>
        <w:t xml:space="preserve"> (quoting </w:t>
      </w:r>
      <w:r>
        <w:rPr>
          <w:rFonts w:asciiTheme="majorBidi" w:hAnsiTheme="majorBidi" w:cstheme="majorBidi"/>
          <w:i/>
          <w:iCs/>
          <w:color w:val="000000"/>
        </w:rPr>
        <w:t>Roper v. Simmons</w:t>
      </w:r>
      <w:r>
        <w:rPr>
          <w:rFonts w:asciiTheme="majorBidi" w:hAnsiTheme="majorBidi" w:cstheme="majorBidi"/>
          <w:color w:val="000000"/>
        </w:rPr>
        <w:t>, 543 U.S. 551, 574 (2005)</w:t>
      </w:r>
      <w:r w:rsidR="00D54167">
        <w:rPr>
          <w:rFonts w:asciiTheme="majorBidi" w:hAnsiTheme="majorBidi" w:cstheme="majorBidi"/>
          <w:color w:val="000000"/>
        </w:rPr>
        <w:t>)</w:t>
      </w:r>
      <w:r>
        <w:rPr>
          <w:rFonts w:asciiTheme="majorBidi" w:hAnsiTheme="majorBidi" w:cstheme="majorBidi"/>
          <w:color w:val="000000"/>
        </w:rPr>
        <w:t xml:space="preserve">. </w:t>
      </w:r>
      <w:r w:rsidR="00980ADB">
        <w:rPr>
          <w:rFonts w:asciiTheme="majorBidi" w:hAnsiTheme="majorBidi" w:cstheme="majorBidi"/>
          <w:color w:val="000000"/>
        </w:rPr>
        <w:t xml:space="preserve">Neuroscience demonstrates that the brain continues to develop well into a person’s twenties, particularly in areas related to impulse control, risk assessment, and susceptibility to external influences. </w:t>
      </w:r>
      <w:r w:rsidR="00980ADB">
        <w:rPr>
          <w:rFonts w:asciiTheme="majorBidi" w:hAnsiTheme="majorBidi" w:cstheme="majorBidi"/>
          <w:i/>
          <w:iCs/>
          <w:color w:val="000000"/>
        </w:rPr>
        <w:t xml:space="preserve">See </w:t>
      </w:r>
      <w:r w:rsidR="00980ADB" w:rsidRPr="002B72B7">
        <w:rPr>
          <w:rFonts w:asciiTheme="majorBidi" w:hAnsiTheme="majorBidi" w:cstheme="majorBidi"/>
          <w:color w:val="000000" w:themeColor="text1"/>
          <w:shd w:val="clear" w:color="auto" w:fill="FFFFFF"/>
        </w:rPr>
        <w:t>Mariam</w:t>
      </w:r>
      <w:r w:rsidR="00980ADB">
        <w:rPr>
          <w:rFonts w:asciiTheme="majorBidi" w:hAnsiTheme="majorBidi" w:cstheme="majorBidi"/>
          <w:color w:val="000000" w:themeColor="text1"/>
          <w:shd w:val="clear" w:color="auto" w:fill="FFFFFF"/>
        </w:rPr>
        <w:t xml:space="preserve"> Arain, et al, </w:t>
      </w:r>
      <w:hyperlink r:id="rId24" w:history="1">
        <w:r w:rsidR="00980ADB" w:rsidRPr="005A4D51">
          <w:rPr>
            <w:rStyle w:val="Hyperlink"/>
            <w:rFonts w:asciiTheme="majorBidi" w:hAnsiTheme="majorBidi" w:cstheme="majorBidi"/>
            <w:i/>
            <w:iCs/>
            <w:shd w:val="clear" w:color="auto" w:fill="FFFFFF"/>
          </w:rPr>
          <w:t>Maturation of the Adolescent Brain</w:t>
        </w:r>
      </w:hyperlink>
      <w:r w:rsidR="00980ADB">
        <w:rPr>
          <w:rFonts w:asciiTheme="majorBidi" w:hAnsiTheme="majorBidi" w:cstheme="majorBidi"/>
          <w:color w:val="000000" w:themeColor="text1"/>
          <w:shd w:val="clear" w:color="auto" w:fill="FFFFFF"/>
        </w:rPr>
        <w:t xml:space="preserve">, </w:t>
      </w:r>
      <w:r w:rsidR="00980ADB" w:rsidRPr="00A450FF">
        <w:rPr>
          <w:rFonts w:asciiTheme="majorBidi" w:hAnsiTheme="majorBidi" w:cstheme="majorBidi"/>
          <w:smallCaps/>
          <w:color w:val="000000" w:themeColor="text1"/>
          <w:shd w:val="clear" w:color="auto" w:fill="FFFFFF"/>
        </w:rPr>
        <w:t>Dove Press J.: Neuropsychiatric Disease and Treatment</w:t>
      </w:r>
      <w:r w:rsidR="00980ADB">
        <w:rPr>
          <w:rFonts w:asciiTheme="majorBidi" w:hAnsiTheme="majorBidi" w:cstheme="majorBidi"/>
          <w:color w:val="000000" w:themeColor="text1"/>
          <w:shd w:val="clear" w:color="auto" w:fill="FFFFFF"/>
        </w:rPr>
        <w:t xml:space="preserve"> (April 2, 2013) (“</w:t>
      </w:r>
      <w:r w:rsidR="00980ADB">
        <w:t xml:space="preserve">The development and maturation of the prefrontal cortex </w:t>
      </w:r>
      <w:proofErr w:type="gramStart"/>
      <w:r w:rsidR="00980ADB">
        <w:t>occurs</w:t>
      </w:r>
      <w:proofErr w:type="gramEnd"/>
      <w:r w:rsidR="00980ADB">
        <w:t xml:space="preserve"> primarily during adolescence and is fully accomplished at the age of 25 years.”). Other states have expanded their consideration of juvenile cognition as mitigation for </w:t>
      </w:r>
      <w:r w:rsidR="007B06C9">
        <w:t xml:space="preserve">late adolescents </w:t>
      </w:r>
      <w:r w:rsidR="00980ADB">
        <w:t xml:space="preserve">in the context of </w:t>
      </w:r>
      <w:r w:rsidR="00980ADB" w:rsidRPr="00EA143A">
        <w:t xml:space="preserve">prohibiting life without parole sentences. </w:t>
      </w:r>
      <w:r w:rsidR="00980ADB" w:rsidRPr="00EA143A">
        <w:rPr>
          <w:i/>
          <w:iCs/>
        </w:rPr>
        <w:t xml:space="preserve">See, e.g., </w:t>
      </w:r>
      <w:r w:rsidR="00EA143A" w:rsidRPr="00EA143A">
        <w:rPr>
          <w:i/>
          <w:iCs/>
        </w:rPr>
        <w:t xml:space="preserve">People v. </w:t>
      </w:r>
      <w:r w:rsidR="00EA143A" w:rsidRPr="004700BD">
        <w:rPr>
          <w:i/>
          <w:iCs/>
        </w:rPr>
        <w:t>Taylor</w:t>
      </w:r>
      <w:r w:rsidR="00EA143A" w:rsidRPr="00EA143A">
        <w:t xml:space="preserve">, </w:t>
      </w:r>
      <w:r w:rsidR="00B76276" w:rsidRPr="00B76276">
        <w:t>No. 166428, 2025 WL 1085247</w:t>
      </w:r>
      <w:r w:rsidR="004700BD">
        <w:t>, at *7</w:t>
      </w:r>
      <w:r w:rsidR="00B76276" w:rsidRPr="00B76276">
        <w:t xml:space="preserve"> (Mich. Apr. 10, 2025</w:t>
      </w:r>
      <w:proofErr w:type="gramStart"/>
      <w:r w:rsidR="00B76276" w:rsidRPr="00B76276">
        <w:t>)</w:t>
      </w:r>
      <w:r w:rsidR="00EA143A" w:rsidRPr="00EA143A">
        <w:t xml:space="preserve"> (“</w:t>
      </w:r>
      <w:proofErr w:type="gramEnd"/>
      <w:r w:rsidR="00D54167">
        <w:rPr>
          <w:color w:val="1F1F1F"/>
          <w:shd w:val="clear" w:color="auto" w:fill="FFFFFF"/>
        </w:rPr>
        <w:t>T</w:t>
      </w:r>
      <w:r w:rsidR="00D54167" w:rsidRPr="00EA143A">
        <w:rPr>
          <w:color w:val="1F1F1F"/>
          <w:shd w:val="clear" w:color="auto" w:fill="FFFFFF"/>
        </w:rPr>
        <w:t xml:space="preserve">he </w:t>
      </w:r>
      <w:r w:rsidR="00EA143A" w:rsidRPr="00EA143A">
        <w:rPr>
          <w:color w:val="1F1F1F"/>
          <w:shd w:val="clear" w:color="auto" w:fill="FFFFFF"/>
        </w:rPr>
        <w:t xml:space="preserve">lack of meaningful distinction does not stop at age 18. As one study concluded, distinguishing the cognitive capacity of a 17-year-old from an 18-, 19-, 20-, or 21-year-old would be impossible for a single individual or even group of individuals, but </w:t>
      </w:r>
      <w:r w:rsidR="00EA143A" w:rsidRPr="00EA143A">
        <w:rPr>
          <w:color w:val="1F1F1F"/>
          <w:shd w:val="clear" w:color="auto" w:fill="FFFFFF"/>
        </w:rPr>
        <w:lastRenderedPageBreak/>
        <w:t>this distinction in performance becomes more obvious by the mid-twenties.”)</w:t>
      </w:r>
      <w:r w:rsidR="00F43329">
        <w:rPr>
          <w:color w:val="1F1F1F"/>
          <w:shd w:val="clear" w:color="auto" w:fill="FFFFFF"/>
        </w:rPr>
        <w:t xml:space="preserve"> (internal citations omitted)</w:t>
      </w:r>
      <w:r w:rsidR="00EA143A" w:rsidRPr="00EA143A">
        <w:rPr>
          <w:color w:val="1F1F1F"/>
          <w:shd w:val="clear" w:color="auto" w:fill="FFFFFF"/>
        </w:rPr>
        <w:t xml:space="preserve">; </w:t>
      </w:r>
      <w:r w:rsidR="00EA143A" w:rsidRPr="00EA143A">
        <w:rPr>
          <w:i/>
          <w:iCs/>
          <w:color w:val="1F1F1F"/>
          <w:shd w:val="clear" w:color="auto" w:fill="FFFFFF"/>
        </w:rPr>
        <w:t>see also</w:t>
      </w:r>
      <w:r w:rsidR="00EA143A">
        <w:rPr>
          <w:rFonts w:ascii="Source Sans Pro" w:hAnsi="Source Sans Pro"/>
          <w:i/>
          <w:iCs/>
          <w:color w:val="1F1F1F"/>
          <w:shd w:val="clear" w:color="auto" w:fill="FFFFFF"/>
        </w:rPr>
        <w:t xml:space="preserve"> </w:t>
      </w:r>
      <w:r w:rsidR="00980ADB" w:rsidRPr="00EA143A">
        <w:rPr>
          <w:i/>
          <w:iCs/>
        </w:rPr>
        <w:t xml:space="preserve">Commonwealth </w:t>
      </w:r>
      <w:r w:rsidR="00980ADB">
        <w:rPr>
          <w:i/>
          <w:iCs/>
        </w:rPr>
        <w:t>v. Mattis</w:t>
      </w:r>
      <w:r w:rsidR="00980ADB">
        <w:t>, 493 Mass. 216, 226-27 (2024)</w:t>
      </w:r>
      <w:r w:rsidR="00980ADB" w:rsidRPr="00980ADB">
        <w:t xml:space="preserve"> (“</w:t>
      </w:r>
      <w:r w:rsidR="00980ADB" w:rsidRPr="00980ADB">
        <w:rPr>
          <w:color w:val="00172E"/>
        </w:rPr>
        <w:t>All of the experts agreed that emerging adults are more likely than children or older adults to engage in risky behavior and that risky behaviors tend to peak in late adolescence to early adulthood and then decline, with some experts asserting that this behavior plateaus at around twenty-two years of age.”</w:t>
      </w:r>
      <w:r w:rsidR="00F91460">
        <w:rPr>
          <w:color w:val="00172E"/>
        </w:rPr>
        <w:t xml:space="preserve">). Thus, in the sentencing context, </w:t>
      </w:r>
      <w:r w:rsidR="007B06C9">
        <w:rPr>
          <w:color w:val="00172E"/>
        </w:rPr>
        <w:t xml:space="preserve">courts </w:t>
      </w:r>
      <w:r w:rsidR="00F91460">
        <w:rPr>
          <w:color w:val="00172E"/>
        </w:rPr>
        <w:t xml:space="preserve">have increasingly acknowledged that the distinctive attributes of youth (diminished risk assessment and impulse control) do not end at </w:t>
      </w:r>
      <w:r w:rsidR="00D54167">
        <w:rPr>
          <w:color w:val="00172E"/>
        </w:rPr>
        <w:t xml:space="preserve">eighteen </w:t>
      </w:r>
      <w:r w:rsidR="001E1603">
        <w:rPr>
          <w:color w:val="00172E"/>
        </w:rPr>
        <w:t>but</w:t>
      </w:r>
      <w:r w:rsidR="00F91460">
        <w:rPr>
          <w:color w:val="00172E"/>
        </w:rPr>
        <w:t xml:space="preserve"> rather extend into </w:t>
      </w:r>
      <w:r w:rsidR="007B06C9">
        <w:rPr>
          <w:color w:val="00172E"/>
        </w:rPr>
        <w:t>late adolescen</w:t>
      </w:r>
      <w:r w:rsidR="001E1603">
        <w:rPr>
          <w:color w:val="00172E"/>
        </w:rPr>
        <w:t>ce</w:t>
      </w:r>
      <w:r w:rsidR="00F91460">
        <w:rPr>
          <w:color w:val="00172E"/>
        </w:rPr>
        <w:t xml:space="preserve">. The same scientific rationale </w:t>
      </w:r>
      <w:r w:rsidR="00817F2F">
        <w:rPr>
          <w:color w:val="00172E"/>
        </w:rPr>
        <w:t>makes expert evidence essential to</w:t>
      </w:r>
      <w:r w:rsidR="00F91460">
        <w:rPr>
          <w:color w:val="00172E"/>
        </w:rPr>
        <w:t xml:space="preserve"> [</w:t>
      </w:r>
      <w:r w:rsidR="00F91460" w:rsidRPr="00F91460">
        <w:rPr>
          <w:color w:val="00172E"/>
          <w:highlight w:val="yellow"/>
        </w:rPr>
        <w:t>Client, x years old</w:t>
      </w:r>
      <w:r w:rsidR="00817F2F">
        <w:rPr>
          <w:color w:val="00172E"/>
        </w:rPr>
        <w:t>,</w:t>
      </w:r>
      <w:r w:rsidR="00F91460">
        <w:rPr>
          <w:color w:val="00172E"/>
        </w:rPr>
        <w:t xml:space="preserve">] </w:t>
      </w:r>
      <w:r w:rsidR="00D54167">
        <w:rPr>
          <w:color w:val="00172E"/>
        </w:rPr>
        <w:t>being able to present</w:t>
      </w:r>
      <w:r w:rsidR="00817F2F">
        <w:rPr>
          <w:color w:val="00172E"/>
        </w:rPr>
        <w:t xml:space="preserve"> </w:t>
      </w:r>
      <w:r w:rsidR="00817F2F" w:rsidRPr="007107A4">
        <w:rPr>
          <w:color w:val="00172E"/>
          <w:highlight w:val="yellow"/>
        </w:rPr>
        <w:t>[his/her/their]</w:t>
      </w:r>
      <w:r w:rsidR="00817F2F">
        <w:rPr>
          <w:color w:val="00172E"/>
        </w:rPr>
        <w:t xml:space="preserve"> </w:t>
      </w:r>
      <w:r w:rsidR="003B563A">
        <w:rPr>
          <w:color w:val="00172E"/>
        </w:rPr>
        <w:t xml:space="preserve">foreseeability </w:t>
      </w:r>
      <w:r w:rsidR="00817F2F">
        <w:rPr>
          <w:color w:val="00172E"/>
        </w:rPr>
        <w:t xml:space="preserve">defense under the law. </w:t>
      </w:r>
    </w:p>
    <w:p w14:paraId="1B20EA45" w14:textId="6D2CCC8C" w:rsidR="005404D0" w:rsidRDefault="005404D0" w:rsidP="007107A4">
      <w:pPr>
        <w:pStyle w:val="ListParagraph"/>
        <w:numPr>
          <w:ilvl w:val="0"/>
          <w:numId w:val="33"/>
        </w:numPr>
        <w:shd w:val="clear" w:color="auto" w:fill="FFFFFF"/>
        <w:spacing w:line="320" w:lineRule="atLeast"/>
        <w:rPr>
          <w:rFonts w:asciiTheme="majorBidi" w:hAnsiTheme="majorBidi" w:cstheme="majorBidi"/>
          <w:b/>
          <w:bCs/>
          <w:color w:val="000000"/>
        </w:rPr>
      </w:pPr>
      <w:r w:rsidRPr="004F223B">
        <w:rPr>
          <w:rFonts w:asciiTheme="majorBidi" w:hAnsiTheme="majorBidi" w:cstheme="majorBidi"/>
          <w:b/>
          <w:bCs/>
          <w:color w:val="000000"/>
        </w:rPr>
        <w:t>Conclusion</w:t>
      </w:r>
    </w:p>
    <w:p w14:paraId="4B21F027" w14:textId="77777777" w:rsidR="006500A6" w:rsidRDefault="006500A6" w:rsidP="006500A6">
      <w:pPr>
        <w:shd w:val="clear" w:color="auto" w:fill="FFFFFF"/>
        <w:spacing w:line="320" w:lineRule="atLeast"/>
        <w:rPr>
          <w:rFonts w:asciiTheme="majorBidi" w:hAnsiTheme="majorBidi" w:cstheme="majorBidi"/>
          <w:b/>
          <w:bCs/>
          <w:color w:val="000000"/>
        </w:rPr>
      </w:pPr>
    </w:p>
    <w:p w14:paraId="3A4C9A8C" w14:textId="0A8B4F04" w:rsidR="00205F47" w:rsidRPr="004E7F76" w:rsidRDefault="006500A6" w:rsidP="004E7F76">
      <w:pPr>
        <w:spacing w:line="480" w:lineRule="auto"/>
        <w:ind w:firstLine="720"/>
        <w:jc w:val="both"/>
        <w:textAlignment w:val="baseline"/>
        <w:rPr>
          <w:color w:val="000000"/>
        </w:rPr>
      </w:pPr>
      <w:r w:rsidRPr="004F223B">
        <w:rPr>
          <w:color w:val="000000"/>
        </w:rPr>
        <w:t>[</w:t>
      </w:r>
      <w:r w:rsidRPr="006500A6">
        <w:rPr>
          <w:color w:val="000000"/>
          <w:highlight w:val="yellow"/>
        </w:rPr>
        <w:t>Client</w:t>
      </w:r>
      <w:r w:rsidRPr="004F223B">
        <w:rPr>
          <w:color w:val="000000"/>
        </w:rPr>
        <w:t>]</w:t>
      </w:r>
      <w:r>
        <w:rPr>
          <w:color w:val="000000"/>
        </w:rPr>
        <w:t xml:space="preserve"> respectfully requests an </w:t>
      </w:r>
      <w:r w:rsidRPr="00AB3249">
        <w:rPr>
          <w:i/>
          <w:iCs/>
          <w:color w:val="000000"/>
        </w:rPr>
        <w:t xml:space="preserve">ex </w:t>
      </w:r>
      <w:proofErr w:type="spellStart"/>
      <w:r w:rsidRPr="00AB3249">
        <w:rPr>
          <w:i/>
          <w:iCs/>
          <w:color w:val="000000"/>
        </w:rPr>
        <w:t>parte</w:t>
      </w:r>
      <w:proofErr w:type="spellEnd"/>
      <w:r>
        <w:rPr>
          <w:color w:val="000000"/>
        </w:rPr>
        <w:t xml:space="preserve"> hearing to show that a juvenile brain science expert is necessary to </w:t>
      </w:r>
      <w:r w:rsidR="00D54167" w:rsidRPr="009F20E3">
        <w:rPr>
          <w:color w:val="00172E"/>
          <w:highlight w:val="yellow"/>
        </w:rPr>
        <w:t>[his/her/their]</w:t>
      </w:r>
      <w:r w:rsidR="00D54167">
        <w:rPr>
          <w:color w:val="00172E"/>
        </w:rPr>
        <w:t xml:space="preserve"> </w:t>
      </w:r>
      <w:r>
        <w:rPr>
          <w:color w:val="000000"/>
        </w:rPr>
        <w:t>ability to present a</w:t>
      </w:r>
      <w:r w:rsidR="007B06C9">
        <w:rPr>
          <w:color w:val="000000"/>
        </w:rPr>
        <w:t xml:space="preserve"> </w:t>
      </w:r>
      <w:r>
        <w:rPr>
          <w:color w:val="000000"/>
        </w:rPr>
        <w:t>defense against the “in furtherance</w:t>
      </w:r>
      <w:r w:rsidR="00D54167">
        <w:rPr>
          <w:color w:val="000000"/>
        </w:rPr>
        <w:t xml:space="preserve"> of</w:t>
      </w:r>
      <w:r>
        <w:rPr>
          <w:color w:val="000000"/>
        </w:rPr>
        <w:t xml:space="preserve">” element </w:t>
      </w:r>
      <w:r w:rsidR="00D54167">
        <w:rPr>
          <w:color w:val="000000"/>
        </w:rPr>
        <w:t>in</w:t>
      </w:r>
      <w:r w:rsidR="00D54167" w:rsidRPr="004F223B">
        <w:rPr>
          <w:color w:val="000000"/>
        </w:rPr>
        <w:t xml:space="preserve"> </w:t>
      </w:r>
      <w:r w:rsidR="00D54167">
        <w:rPr>
          <w:color w:val="000000"/>
        </w:rPr>
        <w:t xml:space="preserve">the </w:t>
      </w:r>
      <w:r>
        <w:rPr>
          <w:color w:val="000000"/>
        </w:rPr>
        <w:t xml:space="preserve">felony murder charge. </w:t>
      </w:r>
      <w:proofErr w:type="gramStart"/>
      <w:r>
        <w:rPr>
          <w:color w:val="000000"/>
        </w:rPr>
        <w:t>The social</w:t>
      </w:r>
      <w:proofErr w:type="gramEnd"/>
      <w:r>
        <w:rPr>
          <w:color w:val="000000"/>
        </w:rPr>
        <w:t xml:space="preserve"> science is clear: </w:t>
      </w:r>
      <w:r w:rsidRPr="004F223B">
        <w:rPr>
          <w:color w:val="000000"/>
        </w:rPr>
        <w:t xml:space="preserve">juveniles are less </w:t>
      </w:r>
      <w:r>
        <w:rPr>
          <w:color w:val="000000"/>
        </w:rPr>
        <w:t>equipped</w:t>
      </w:r>
      <w:r w:rsidRPr="004F223B">
        <w:rPr>
          <w:color w:val="000000"/>
        </w:rPr>
        <w:t xml:space="preserve"> to </w:t>
      </w:r>
      <w:r>
        <w:rPr>
          <w:color w:val="000000"/>
        </w:rPr>
        <w:t>assess</w:t>
      </w:r>
      <w:r w:rsidRPr="004F223B">
        <w:rPr>
          <w:color w:val="000000"/>
        </w:rPr>
        <w:t xml:space="preserve"> risks, </w:t>
      </w:r>
      <w:r>
        <w:rPr>
          <w:color w:val="000000"/>
        </w:rPr>
        <w:t>make rational</w:t>
      </w:r>
      <w:r w:rsidRPr="004F223B">
        <w:rPr>
          <w:color w:val="000000"/>
        </w:rPr>
        <w:t xml:space="preserve"> decision</w:t>
      </w:r>
      <w:r>
        <w:rPr>
          <w:color w:val="000000"/>
        </w:rPr>
        <w:t>s</w:t>
      </w:r>
      <w:r w:rsidRPr="004F223B">
        <w:rPr>
          <w:color w:val="000000"/>
        </w:rPr>
        <w:t xml:space="preserve">, and </w:t>
      </w:r>
      <w:r>
        <w:rPr>
          <w:color w:val="000000"/>
        </w:rPr>
        <w:t>anticipate</w:t>
      </w:r>
      <w:r w:rsidRPr="004F223B">
        <w:rPr>
          <w:color w:val="000000"/>
        </w:rPr>
        <w:t xml:space="preserve"> consequences than adults. Together, these attributes render juveniles, like [</w:t>
      </w:r>
      <w:r w:rsidR="00D54167">
        <w:rPr>
          <w:color w:val="000000"/>
          <w:highlight w:val="yellow"/>
        </w:rPr>
        <w:t>C</w:t>
      </w:r>
      <w:r w:rsidR="00D54167" w:rsidRPr="004F223B">
        <w:rPr>
          <w:color w:val="000000"/>
          <w:highlight w:val="yellow"/>
        </w:rPr>
        <w:t>lient</w:t>
      </w:r>
      <w:r w:rsidRPr="004F223B">
        <w:rPr>
          <w:color w:val="000000"/>
        </w:rPr>
        <w:t>], less capable of foreseeing a death as resulting “in furtherance</w:t>
      </w:r>
      <w:r w:rsidR="00D54167">
        <w:rPr>
          <w:color w:val="000000"/>
        </w:rPr>
        <w:t xml:space="preserve"> of</w:t>
      </w:r>
      <w:r w:rsidRPr="004F223B">
        <w:rPr>
          <w:color w:val="000000"/>
        </w:rPr>
        <w:t>” their participation in an underlying felony</w:t>
      </w:r>
      <w:r w:rsidR="005857ED">
        <w:rPr>
          <w:color w:val="000000"/>
        </w:rPr>
        <w:t xml:space="preserve"> – a key element of felony murder under </w:t>
      </w:r>
      <w:hyperlink r:id="rId25" w:history="1">
        <w:r w:rsidR="005857ED" w:rsidRPr="004F223B">
          <w:rPr>
            <w:color w:val="1155CC"/>
            <w:u w:val="single"/>
          </w:rPr>
          <w:t>N.Y. Penal Law § 125.25(3)</w:t>
        </w:r>
      </w:hyperlink>
      <w:r w:rsidR="005857ED" w:rsidRPr="004F223B">
        <w:rPr>
          <w:color w:val="000000"/>
        </w:rPr>
        <w:t>.</w:t>
      </w:r>
      <w:r w:rsidRPr="004F223B">
        <w:rPr>
          <w:color w:val="000000"/>
        </w:rPr>
        <w:t xml:space="preserve"> </w:t>
      </w:r>
      <w:r w:rsidR="005857ED">
        <w:rPr>
          <w:color w:val="000000"/>
        </w:rPr>
        <w:t xml:space="preserve">While courts have widely recognized juveniles as different in areas like sentencing, </w:t>
      </w:r>
      <w:r w:rsidR="005857ED">
        <w:rPr>
          <w:i/>
          <w:iCs/>
          <w:color w:val="000000"/>
        </w:rPr>
        <w:t xml:space="preserve">see </w:t>
      </w:r>
      <w:r w:rsidR="005857ED" w:rsidRPr="005857ED">
        <w:rPr>
          <w:i/>
          <w:iCs/>
          <w:color w:val="000000"/>
        </w:rPr>
        <w:t>Miller</w:t>
      </w:r>
      <w:r w:rsidR="005B2F97">
        <w:rPr>
          <w:i/>
          <w:iCs/>
          <w:color w:val="000000"/>
        </w:rPr>
        <w:t xml:space="preserve"> v. Alabama</w:t>
      </w:r>
      <w:r w:rsidR="00CD59A9">
        <w:rPr>
          <w:color w:val="000000"/>
        </w:rPr>
        <w:t xml:space="preserve">, </w:t>
      </w:r>
      <w:r w:rsidR="00CD59A9" w:rsidRPr="00CD59A9">
        <w:rPr>
          <w:color w:val="000000"/>
        </w:rPr>
        <w:t>567 U.S. 460 (2012)</w:t>
      </w:r>
      <w:r w:rsidR="00CD52AB">
        <w:rPr>
          <w:color w:val="000000"/>
        </w:rPr>
        <w:t>;</w:t>
      </w:r>
      <w:r w:rsidR="005857ED">
        <w:rPr>
          <w:color w:val="000000"/>
        </w:rPr>
        <w:t xml:space="preserve"> </w:t>
      </w:r>
      <w:r w:rsidR="005857ED">
        <w:rPr>
          <w:i/>
          <w:iCs/>
          <w:color w:val="000000"/>
        </w:rPr>
        <w:t>Roper</w:t>
      </w:r>
      <w:r w:rsidR="005B2F97">
        <w:rPr>
          <w:i/>
          <w:iCs/>
          <w:color w:val="000000"/>
        </w:rPr>
        <w:t xml:space="preserve"> v. Simmons</w:t>
      </w:r>
      <w:r w:rsidR="00CD59A9">
        <w:rPr>
          <w:color w:val="000000"/>
        </w:rPr>
        <w:t>,</w:t>
      </w:r>
      <w:r w:rsidR="00CD59A9">
        <w:rPr>
          <w:i/>
          <w:iCs/>
          <w:color w:val="000000"/>
        </w:rPr>
        <w:t xml:space="preserve"> </w:t>
      </w:r>
      <w:r w:rsidR="00CD59A9" w:rsidRPr="00CD59A9">
        <w:rPr>
          <w:color w:val="000000"/>
        </w:rPr>
        <w:t>543 U.S. 551 (2005)</w:t>
      </w:r>
      <w:r w:rsidR="005857ED" w:rsidRPr="00CD59A9">
        <w:rPr>
          <w:color w:val="000000"/>
        </w:rPr>
        <w:t>,</w:t>
      </w:r>
      <w:r w:rsidR="005857ED">
        <w:rPr>
          <w:i/>
          <w:iCs/>
          <w:color w:val="000000"/>
        </w:rPr>
        <w:t xml:space="preserve"> </w:t>
      </w:r>
      <w:r w:rsidR="005857ED">
        <w:rPr>
          <w:color w:val="000000"/>
        </w:rPr>
        <w:t>expert testimony</w:t>
      </w:r>
      <w:r w:rsidR="007B06C9">
        <w:rPr>
          <w:color w:val="000000"/>
        </w:rPr>
        <w:t xml:space="preserve"> regarding juveniles</w:t>
      </w:r>
      <w:r w:rsidR="001E1603">
        <w:rPr>
          <w:color w:val="000000"/>
        </w:rPr>
        <w:t>’</w:t>
      </w:r>
      <w:r w:rsidR="007B06C9">
        <w:rPr>
          <w:color w:val="000000"/>
        </w:rPr>
        <w:t xml:space="preserve"> inability to foresee consequences</w:t>
      </w:r>
      <w:r w:rsidR="005857ED">
        <w:rPr>
          <w:color w:val="000000"/>
        </w:rPr>
        <w:t xml:space="preserve"> is</w:t>
      </w:r>
      <w:r w:rsidR="007B06C9">
        <w:rPr>
          <w:color w:val="000000"/>
        </w:rPr>
        <w:t xml:space="preserve"> also</w:t>
      </w:r>
      <w:r w:rsidR="005857ED">
        <w:rPr>
          <w:color w:val="000000"/>
        </w:rPr>
        <w:t xml:space="preserve"> crucial at the trial phase. Explaining the biological basis for why juveniles are less able to sufficiently foresee the consequences of their actions in group settings is central</w:t>
      </w:r>
      <w:r w:rsidRPr="004F223B">
        <w:rPr>
          <w:color w:val="000000" w:themeColor="text1"/>
        </w:rPr>
        <w:t xml:space="preserve"> </w:t>
      </w:r>
      <w:r w:rsidR="00CD52AB">
        <w:rPr>
          <w:color w:val="000000" w:themeColor="text1"/>
        </w:rPr>
        <w:t xml:space="preserve">to </w:t>
      </w:r>
      <w:r w:rsidRPr="004F223B">
        <w:rPr>
          <w:color w:val="000000" w:themeColor="text1"/>
        </w:rPr>
        <w:t>[</w:t>
      </w:r>
      <w:r w:rsidR="00D54167">
        <w:rPr>
          <w:color w:val="000000" w:themeColor="text1"/>
          <w:highlight w:val="yellow"/>
        </w:rPr>
        <w:t>C</w:t>
      </w:r>
      <w:r w:rsidR="00D54167" w:rsidRPr="006500A6">
        <w:rPr>
          <w:color w:val="000000" w:themeColor="text1"/>
          <w:highlight w:val="yellow"/>
        </w:rPr>
        <w:t>lient</w:t>
      </w:r>
      <w:r w:rsidRPr="004F223B">
        <w:rPr>
          <w:color w:val="000000" w:themeColor="text1"/>
        </w:rPr>
        <w:t>]’s ability to challenge this element of felony murder</w:t>
      </w:r>
      <w:r w:rsidR="005857ED">
        <w:rPr>
          <w:color w:val="000000" w:themeColor="text1"/>
        </w:rPr>
        <w:t xml:space="preserve">, and therefore </w:t>
      </w:r>
      <w:r w:rsidR="00D54167">
        <w:rPr>
          <w:color w:val="000000" w:themeColor="text1"/>
        </w:rPr>
        <w:t xml:space="preserve">necessary </w:t>
      </w:r>
      <w:r w:rsidR="005857ED">
        <w:rPr>
          <w:color w:val="000000" w:themeColor="text1"/>
        </w:rPr>
        <w:t>to</w:t>
      </w:r>
      <w:r w:rsidRPr="004F223B">
        <w:rPr>
          <w:color w:val="000000"/>
        </w:rPr>
        <w:t xml:space="preserve"> </w:t>
      </w:r>
      <w:r w:rsidR="005857ED">
        <w:rPr>
          <w:color w:val="000000"/>
        </w:rPr>
        <w:t>[</w:t>
      </w:r>
      <w:r w:rsidR="005857ED" w:rsidRPr="005857ED">
        <w:rPr>
          <w:color w:val="000000"/>
          <w:highlight w:val="yellow"/>
        </w:rPr>
        <w:t>his/her/their</w:t>
      </w:r>
      <w:r w:rsidR="005857ED">
        <w:rPr>
          <w:color w:val="000000"/>
        </w:rPr>
        <w:t xml:space="preserve">] </w:t>
      </w:r>
      <w:r w:rsidRPr="004F223B">
        <w:rPr>
          <w:color w:val="000000"/>
        </w:rPr>
        <w:t>due process and equal protection rights</w:t>
      </w:r>
      <w:r w:rsidR="00D54167">
        <w:rPr>
          <w:color w:val="000000"/>
        </w:rPr>
        <w:t xml:space="preserve"> to present a defense</w:t>
      </w:r>
      <w:r w:rsidR="005857ED">
        <w:rPr>
          <w:color w:val="000000"/>
        </w:rPr>
        <w:t xml:space="preserve">. For all the above reasons, </w:t>
      </w:r>
      <w:r w:rsidRPr="004F223B">
        <w:rPr>
          <w:color w:val="000000"/>
        </w:rPr>
        <w:t xml:space="preserve">this Court should approve and </w:t>
      </w:r>
      <w:r w:rsidRPr="004F223B">
        <w:rPr>
          <w:color w:val="000000"/>
        </w:rPr>
        <w:lastRenderedPageBreak/>
        <w:t>fund the testimony of [</w:t>
      </w:r>
      <w:r w:rsidRPr="004F223B">
        <w:rPr>
          <w:color w:val="000000"/>
          <w:shd w:val="clear" w:color="auto" w:fill="FFFF00"/>
        </w:rPr>
        <w:t>expert witness</w:t>
      </w:r>
      <w:r w:rsidRPr="004F223B">
        <w:rPr>
          <w:color w:val="000000"/>
        </w:rPr>
        <w:t>] as necessary to [</w:t>
      </w:r>
      <w:r w:rsidRPr="004F223B">
        <w:rPr>
          <w:color w:val="000000"/>
          <w:shd w:val="clear" w:color="auto" w:fill="FFFF00"/>
        </w:rPr>
        <w:t>Client’s</w:t>
      </w:r>
      <w:r w:rsidRPr="004F223B">
        <w:rPr>
          <w:color w:val="000000"/>
        </w:rPr>
        <w:t>] ability to put on an adequate defense.</w:t>
      </w:r>
    </w:p>
    <w:sectPr w:rsidR="00205F47" w:rsidRPr="004E7F76" w:rsidSect="006633F4">
      <w:footerReference w:type="even" r:id="rId26"/>
      <w:footerReference w:type="default" r:id="rId2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78E283" w14:textId="77777777" w:rsidR="003C2CEF" w:rsidRDefault="003C2CEF" w:rsidP="00BB7C56">
      <w:r>
        <w:separator/>
      </w:r>
    </w:p>
  </w:endnote>
  <w:endnote w:type="continuationSeparator" w:id="0">
    <w:p w14:paraId="6998DB7E" w14:textId="77777777" w:rsidR="003C2CEF" w:rsidRDefault="003C2CEF" w:rsidP="00BB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Source Sans Pro">
    <w:charset w:val="00"/>
    <w:family w:val="swiss"/>
    <w:pitch w:val="variable"/>
    <w:sig w:usb0="600002F7" w:usb1="02000001" w:usb2="00000000" w:usb3="00000000" w:csb0="0000019F" w:csb1="00000000"/>
  </w:font>
  <w:font w:name="Assistant">
    <w:charset w:val="B1"/>
    <w:family w:val="auto"/>
    <w:pitch w:val="variable"/>
    <w:sig w:usb0="A00008FF" w:usb1="4000204B" w:usb2="00000000" w:usb3="00000000" w:csb0="0000002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377318322"/>
      <w:docPartObj>
        <w:docPartGallery w:val="Page Numbers (Bottom of Page)"/>
        <w:docPartUnique/>
      </w:docPartObj>
    </w:sdtPr>
    <w:sdtContent>
      <w:p w14:paraId="7FF49515" w14:textId="09390F10" w:rsidR="00CD59A9" w:rsidRDefault="00CD59A9" w:rsidP="008D10E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5491FF1B" w14:textId="77777777" w:rsidR="00CD59A9" w:rsidRDefault="00CD59A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63312974"/>
      <w:docPartObj>
        <w:docPartGallery w:val="Page Numbers (Bottom of Page)"/>
        <w:docPartUnique/>
      </w:docPartObj>
    </w:sdtPr>
    <w:sdtContent>
      <w:p w14:paraId="1893E5D0" w14:textId="56D4C70B" w:rsidR="00CD59A9" w:rsidRDefault="00CD59A9" w:rsidP="008D10E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7</w:t>
        </w:r>
        <w:r>
          <w:rPr>
            <w:rStyle w:val="PageNumber"/>
          </w:rPr>
          <w:fldChar w:fldCharType="end"/>
        </w:r>
      </w:p>
    </w:sdtContent>
  </w:sdt>
  <w:p w14:paraId="352CF3DB" w14:textId="77777777" w:rsidR="00CD59A9" w:rsidRDefault="00CD59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7AA9FF" w14:textId="77777777" w:rsidR="003C2CEF" w:rsidRDefault="003C2CEF" w:rsidP="00BB7C56">
      <w:r>
        <w:separator/>
      </w:r>
    </w:p>
  </w:footnote>
  <w:footnote w:type="continuationSeparator" w:id="0">
    <w:p w14:paraId="10012CFD" w14:textId="77777777" w:rsidR="003C2CEF" w:rsidRDefault="003C2CEF" w:rsidP="00BB7C56">
      <w:r>
        <w:continuationSeparator/>
      </w:r>
    </w:p>
  </w:footnote>
  <w:footnote w:id="1">
    <w:p w14:paraId="48439D26" w14:textId="344575A0" w:rsidR="00BB7C56" w:rsidRPr="008A57EA" w:rsidRDefault="00BB7C56">
      <w:pPr>
        <w:pStyle w:val="FootnoteText"/>
        <w:rPr>
          <w:rFonts w:asciiTheme="majorBidi" w:hAnsiTheme="majorBidi" w:cstheme="majorBidi"/>
        </w:rPr>
      </w:pPr>
      <w:r w:rsidRPr="008A57EA">
        <w:rPr>
          <w:rStyle w:val="FootnoteReference"/>
          <w:rFonts w:asciiTheme="majorBidi" w:hAnsiTheme="majorBidi" w:cstheme="majorBidi"/>
          <w:color w:val="000000" w:themeColor="text1"/>
        </w:rPr>
        <w:footnoteRef/>
      </w:r>
      <w:r w:rsidRPr="008A57EA">
        <w:rPr>
          <w:rFonts w:asciiTheme="majorBidi" w:hAnsiTheme="majorBidi" w:cstheme="majorBidi"/>
          <w:color w:val="000000" w:themeColor="text1"/>
        </w:rPr>
        <w:t xml:space="preserve"> </w:t>
      </w:r>
      <w:r w:rsidR="003F4A63">
        <w:rPr>
          <w:rFonts w:asciiTheme="majorBidi" w:hAnsiTheme="majorBidi" w:cstheme="majorBidi"/>
          <w:color w:val="000000" w:themeColor="text1"/>
        </w:rPr>
        <w:t>“</w:t>
      </w:r>
      <w:r w:rsidR="008A57EA" w:rsidRPr="008A57EA">
        <w:rPr>
          <w:rFonts w:asciiTheme="majorBidi" w:hAnsiTheme="majorBidi" w:cstheme="majorBidi"/>
          <w:color w:val="000000" w:themeColor="text1"/>
          <w:shd w:val="clear" w:color="auto" w:fill="FFFFFF"/>
        </w:rPr>
        <w:t>Counsel for a person who is financially unable to obtain investigative, expert, or other services necessary for adequate representation may request them in an ex parte application. Upon finding, after appropriate inquiry in an ex parte proceeding, that the services are necessary and that the person is financially unable to obtain them, the court, or the United States magistrate judge if the services are required in connection with a matter over which he has jurisdiction, shall authorize counsel to obtain the services.</w:t>
      </w:r>
      <w:r w:rsidR="003F4A63">
        <w:rPr>
          <w:rFonts w:asciiTheme="majorBidi" w:hAnsiTheme="majorBidi" w:cstheme="majorBidi"/>
          <w:color w:val="000000" w:themeColor="text1"/>
          <w:shd w:val="clear" w:color="auto" w:fill="FFFFFF"/>
        </w:rPr>
        <w:t>”</w:t>
      </w:r>
      <w:r w:rsidR="008A57EA" w:rsidRPr="008A57EA">
        <w:rPr>
          <w:rFonts w:asciiTheme="majorBidi" w:hAnsiTheme="majorBidi" w:cstheme="majorBidi"/>
          <w:color w:val="000000" w:themeColor="text1"/>
          <w:shd w:val="clear" w:color="auto" w:fill="FFFFFF"/>
        </w:rPr>
        <w:t xml:space="preserve"> </w:t>
      </w:r>
      <w:hyperlink r:id="rId1" w:history="1">
        <w:r w:rsidR="008A57EA" w:rsidRPr="008A57EA">
          <w:rPr>
            <w:rStyle w:val="Hyperlink"/>
            <w:rFonts w:asciiTheme="majorBidi" w:hAnsiTheme="majorBidi" w:cstheme="majorBidi"/>
            <w:shd w:val="clear" w:color="auto" w:fill="FFFFFF"/>
          </w:rPr>
          <w:t>18 U.S.C.A. § 3006A (e)(1).</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3357F"/>
    <w:multiLevelType w:val="hybridMultilevel"/>
    <w:tmpl w:val="904C333E"/>
    <w:lvl w:ilvl="0" w:tplc="04090001">
      <w:start w:val="1"/>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4393A44"/>
    <w:multiLevelType w:val="multilevel"/>
    <w:tmpl w:val="F05A4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D6046C"/>
    <w:multiLevelType w:val="hybridMultilevel"/>
    <w:tmpl w:val="8A0211E0"/>
    <w:lvl w:ilvl="0" w:tplc="2A020558">
      <w:start w:val="2"/>
      <w:numFmt w:val="upperLetter"/>
      <w:lvlText w:val="%1."/>
      <w:lvlJc w:val="left"/>
      <w:pPr>
        <w:tabs>
          <w:tab w:val="num" w:pos="720"/>
        </w:tabs>
        <w:ind w:left="720" w:hanging="360"/>
      </w:pPr>
    </w:lvl>
    <w:lvl w:ilvl="1" w:tplc="684A570E" w:tentative="1">
      <w:start w:val="1"/>
      <w:numFmt w:val="decimal"/>
      <w:lvlText w:val="%2."/>
      <w:lvlJc w:val="left"/>
      <w:pPr>
        <w:tabs>
          <w:tab w:val="num" w:pos="1440"/>
        </w:tabs>
        <w:ind w:left="1440" w:hanging="360"/>
      </w:pPr>
    </w:lvl>
    <w:lvl w:ilvl="2" w:tplc="3F0AB974" w:tentative="1">
      <w:start w:val="1"/>
      <w:numFmt w:val="decimal"/>
      <w:lvlText w:val="%3."/>
      <w:lvlJc w:val="left"/>
      <w:pPr>
        <w:tabs>
          <w:tab w:val="num" w:pos="2160"/>
        </w:tabs>
        <w:ind w:left="2160" w:hanging="360"/>
      </w:pPr>
    </w:lvl>
    <w:lvl w:ilvl="3" w:tplc="176611E0" w:tentative="1">
      <w:start w:val="1"/>
      <w:numFmt w:val="decimal"/>
      <w:lvlText w:val="%4."/>
      <w:lvlJc w:val="left"/>
      <w:pPr>
        <w:tabs>
          <w:tab w:val="num" w:pos="2880"/>
        </w:tabs>
        <w:ind w:left="2880" w:hanging="360"/>
      </w:pPr>
    </w:lvl>
    <w:lvl w:ilvl="4" w:tplc="FB22FD22" w:tentative="1">
      <w:start w:val="1"/>
      <w:numFmt w:val="decimal"/>
      <w:lvlText w:val="%5."/>
      <w:lvlJc w:val="left"/>
      <w:pPr>
        <w:tabs>
          <w:tab w:val="num" w:pos="3600"/>
        </w:tabs>
        <w:ind w:left="3600" w:hanging="360"/>
      </w:pPr>
    </w:lvl>
    <w:lvl w:ilvl="5" w:tplc="C2E2F0C8" w:tentative="1">
      <w:start w:val="1"/>
      <w:numFmt w:val="decimal"/>
      <w:lvlText w:val="%6."/>
      <w:lvlJc w:val="left"/>
      <w:pPr>
        <w:tabs>
          <w:tab w:val="num" w:pos="4320"/>
        </w:tabs>
        <w:ind w:left="4320" w:hanging="360"/>
      </w:pPr>
    </w:lvl>
    <w:lvl w:ilvl="6" w:tplc="E962082C" w:tentative="1">
      <w:start w:val="1"/>
      <w:numFmt w:val="decimal"/>
      <w:lvlText w:val="%7."/>
      <w:lvlJc w:val="left"/>
      <w:pPr>
        <w:tabs>
          <w:tab w:val="num" w:pos="5040"/>
        </w:tabs>
        <w:ind w:left="5040" w:hanging="360"/>
      </w:pPr>
    </w:lvl>
    <w:lvl w:ilvl="7" w:tplc="BE1843EA" w:tentative="1">
      <w:start w:val="1"/>
      <w:numFmt w:val="decimal"/>
      <w:lvlText w:val="%8."/>
      <w:lvlJc w:val="left"/>
      <w:pPr>
        <w:tabs>
          <w:tab w:val="num" w:pos="5760"/>
        </w:tabs>
        <w:ind w:left="5760" w:hanging="360"/>
      </w:pPr>
    </w:lvl>
    <w:lvl w:ilvl="8" w:tplc="E86859EE" w:tentative="1">
      <w:start w:val="1"/>
      <w:numFmt w:val="decimal"/>
      <w:lvlText w:val="%9."/>
      <w:lvlJc w:val="left"/>
      <w:pPr>
        <w:tabs>
          <w:tab w:val="num" w:pos="6480"/>
        </w:tabs>
        <w:ind w:left="6480" w:hanging="360"/>
      </w:pPr>
    </w:lvl>
  </w:abstractNum>
  <w:abstractNum w:abstractNumId="3" w15:restartNumberingAfterBreak="0">
    <w:nsid w:val="06440F50"/>
    <w:multiLevelType w:val="hybridMultilevel"/>
    <w:tmpl w:val="5D2E2CD2"/>
    <w:lvl w:ilvl="0" w:tplc="F32C825A">
      <w:start w:val="5"/>
      <w:numFmt w:val="upperRoman"/>
      <w:lvlText w:val="%1."/>
      <w:lvlJc w:val="right"/>
      <w:pPr>
        <w:tabs>
          <w:tab w:val="num" w:pos="720"/>
        </w:tabs>
        <w:ind w:left="720" w:hanging="360"/>
      </w:pPr>
      <w:rPr>
        <w:rFonts w:asciiTheme="majorBidi" w:hAnsiTheme="majorBidi" w:cstheme="majorBidi" w:hint="default"/>
        <w:b/>
        <w:bCs/>
      </w:rPr>
    </w:lvl>
    <w:lvl w:ilvl="1" w:tplc="68D2C564" w:tentative="1">
      <w:start w:val="1"/>
      <w:numFmt w:val="decimal"/>
      <w:lvlText w:val="%2."/>
      <w:lvlJc w:val="left"/>
      <w:pPr>
        <w:tabs>
          <w:tab w:val="num" w:pos="1440"/>
        </w:tabs>
        <w:ind w:left="1440" w:hanging="360"/>
      </w:pPr>
    </w:lvl>
    <w:lvl w:ilvl="2" w:tplc="38940F52" w:tentative="1">
      <w:start w:val="1"/>
      <w:numFmt w:val="decimal"/>
      <w:lvlText w:val="%3."/>
      <w:lvlJc w:val="left"/>
      <w:pPr>
        <w:tabs>
          <w:tab w:val="num" w:pos="2160"/>
        </w:tabs>
        <w:ind w:left="2160" w:hanging="360"/>
      </w:pPr>
    </w:lvl>
    <w:lvl w:ilvl="3" w:tplc="3AAC5E74" w:tentative="1">
      <w:start w:val="1"/>
      <w:numFmt w:val="decimal"/>
      <w:lvlText w:val="%4."/>
      <w:lvlJc w:val="left"/>
      <w:pPr>
        <w:tabs>
          <w:tab w:val="num" w:pos="2880"/>
        </w:tabs>
        <w:ind w:left="2880" w:hanging="360"/>
      </w:pPr>
    </w:lvl>
    <w:lvl w:ilvl="4" w:tplc="EDE4F20C" w:tentative="1">
      <w:start w:val="1"/>
      <w:numFmt w:val="decimal"/>
      <w:lvlText w:val="%5."/>
      <w:lvlJc w:val="left"/>
      <w:pPr>
        <w:tabs>
          <w:tab w:val="num" w:pos="3600"/>
        </w:tabs>
        <w:ind w:left="3600" w:hanging="360"/>
      </w:pPr>
    </w:lvl>
    <w:lvl w:ilvl="5" w:tplc="3E2EFE90" w:tentative="1">
      <w:start w:val="1"/>
      <w:numFmt w:val="decimal"/>
      <w:lvlText w:val="%6."/>
      <w:lvlJc w:val="left"/>
      <w:pPr>
        <w:tabs>
          <w:tab w:val="num" w:pos="4320"/>
        </w:tabs>
        <w:ind w:left="4320" w:hanging="360"/>
      </w:pPr>
    </w:lvl>
    <w:lvl w:ilvl="6" w:tplc="64464390" w:tentative="1">
      <w:start w:val="1"/>
      <w:numFmt w:val="decimal"/>
      <w:lvlText w:val="%7."/>
      <w:lvlJc w:val="left"/>
      <w:pPr>
        <w:tabs>
          <w:tab w:val="num" w:pos="5040"/>
        </w:tabs>
        <w:ind w:left="5040" w:hanging="360"/>
      </w:pPr>
    </w:lvl>
    <w:lvl w:ilvl="7" w:tplc="724AF02C" w:tentative="1">
      <w:start w:val="1"/>
      <w:numFmt w:val="decimal"/>
      <w:lvlText w:val="%8."/>
      <w:lvlJc w:val="left"/>
      <w:pPr>
        <w:tabs>
          <w:tab w:val="num" w:pos="5760"/>
        </w:tabs>
        <w:ind w:left="5760" w:hanging="360"/>
      </w:pPr>
    </w:lvl>
    <w:lvl w:ilvl="8" w:tplc="46CC7E6E" w:tentative="1">
      <w:start w:val="1"/>
      <w:numFmt w:val="decimal"/>
      <w:lvlText w:val="%9."/>
      <w:lvlJc w:val="left"/>
      <w:pPr>
        <w:tabs>
          <w:tab w:val="num" w:pos="6480"/>
        </w:tabs>
        <w:ind w:left="6480" w:hanging="360"/>
      </w:pPr>
    </w:lvl>
  </w:abstractNum>
  <w:abstractNum w:abstractNumId="4" w15:restartNumberingAfterBreak="0">
    <w:nsid w:val="081250B5"/>
    <w:multiLevelType w:val="hybridMultilevel"/>
    <w:tmpl w:val="E55EE398"/>
    <w:lvl w:ilvl="0" w:tplc="CA92D9C2">
      <w:start w:val="2"/>
      <w:numFmt w:val="upperRoman"/>
      <w:lvlText w:val="%1."/>
      <w:lvlJc w:val="right"/>
      <w:pPr>
        <w:tabs>
          <w:tab w:val="num" w:pos="720"/>
        </w:tabs>
        <w:ind w:left="720" w:hanging="360"/>
      </w:pPr>
    </w:lvl>
    <w:lvl w:ilvl="1" w:tplc="8CEA8104" w:tentative="1">
      <w:start w:val="1"/>
      <w:numFmt w:val="decimal"/>
      <w:lvlText w:val="%2."/>
      <w:lvlJc w:val="left"/>
      <w:pPr>
        <w:tabs>
          <w:tab w:val="num" w:pos="1440"/>
        </w:tabs>
        <w:ind w:left="1440" w:hanging="360"/>
      </w:pPr>
    </w:lvl>
    <w:lvl w:ilvl="2" w:tplc="1D12A10C" w:tentative="1">
      <w:start w:val="1"/>
      <w:numFmt w:val="decimal"/>
      <w:lvlText w:val="%3."/>
      <w:lvlJc w:val="left"/>
      <w:pPr>
        <w:tabs>
          <w:tab w:val="num" w:pos="2160"/>
        </w:tabs>
        <w:ind w:left="2160" w:hanging="360"/>
      </w:pPr>
    </w:lvl>
    <w:lvl w:ilvl="3" w:tplc="E9D8B69E" w:tentative="1">
      <w:start w:val="1"/>
      <w:numFmt w:val="decimal"/>
      <w:lvlText w:val="%4."/>
      <w:lvlJc w:val="left"/>
      <w:pPr>
        <w:tabs>
          <w:tab w:val="num" w:pos="2880"/>
        </w:tabs>
        <w:ind w:left="2880" w:hanging="360"/>
      </w:pPr>
    </w:lvl>
    <w:lvl w:ilvl="4" w:tplc="64F8E1CC" w:tentative="1">
      <w:start w:val="1"/>
      <w:numFmt w:val="decimal"/>
      <w:lvlText w:val="%5."/>
      <w:lvlJc w:val="left"/>
      <w:pPr>
        <w:tabs>
          <w:tab w:val="num" w:pos="3600"/>
        </w:tabs>
        <w:ind w:left="3600" w:hanging="360"/>
      </w:pPr>
    </w:lvl>
    <w:lvl w:ilvl="5" w:tplc="E2627354" w:tentative="1">
      <w:start w:val="1"/>
      <w:numFmt w:val="decimal"/>
      <w:lvlText w:val="%6."/>
      <w:lvlJc w:val="left"/>
      <w:pPr>
        <w:tabs>
          <w:tab w:val="num" w:pos="4320"/>
        </w:tabs>
        <w:ind w:left="4320" w:hanging="360"/>
      </w:pPr>
    </w:lvl>
    <w:lvl w:ilvl="6" w:tplc="BD306C62" w:tentative="1">
      <w:start w:val="1"/>
      <w:numFmt w:val="decimal"/>
      <w:lvlText w:val="%7."/>
      <w:lvlJc w:val="left"/>
      <w:pPr>
        <w:tabs>
          <w:tab w:val="num" w:pos="5040"/>
        </w:tabs>
        <w:ind w:left="5040" w:hanging="360"/>
      </w:pPr>
    </w:lvl>
    <w:lvl w:ilvl="7" w:tplc="8390AD02" w:tentative="1">
      <w:start w:val="1"/>
      <w:numFmt w:val="decimal"/>
      <w:lvlText w:val="%8."/>
      <w:lvlJc w:val="left"/>
      <w:pPr>
        <w:tabs>
          <w:tab w:val="num" w:pos="5760"/>
        </w:tabs>
        <w:ind w:left="5760" w:hanging="360"/>
      </w:pPr>
    </w:lvl>
    <w:lvl w:ilvl="8" w:tplc="D62E3912" w:tentative="1">
      <w:start w:val="1"/>
      <w:numFmt w:val="decimal"/>
      <w:lvlText w:val="%9."/>
      <w:lvlJc w:val="left"/>
      <w:pPr>
        <w:tabs>
          <w:tab w:val="num" w:pos="6480"/>
        </w:tabs>
        <w:ind w:left="6480" w:hanging="360"/>
      </w:pPr>
    </w:lvl>
  </w:abstractNum>
  <w:abstractNum w:abstractNumId="5" w15:restartNumberingAfterBreak="0">
    <w:nsid w:val="0B585AB3"/>
    <w:multiLevelType w:val="multilevel"/>
    <w:tmpl w:val="792C02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3EC706A"/>
    <w:multiLevelType w:val="hybridMultilevel"/>
    <w:tmpl w:val="BF94337C"/>
    <w:lvl w:ilvl="0" w:tplc="6CB00BCC">
      <w:start w:val="3"/>
      <w:numFmt w:val="upperLetter"/>
      <w:lvlText w:val="%1."/>
      <w:lvlJc w:val="left"/>
      <w:pPr>
        <w:tabs>
          <w:tab w:val="num" w:pos="720"/>
        </w:tabs>
        <w:ind w:left="720" w:hanging="360"/>
      </w:pPr>
    </w:lvl>
    <w:lvl w:ilvl="1" w:tplc="12941E82" w:tentative="1">
      <w:start w:val="1"/>
      <w:numFmt w:val="decimal"/>
      <w:lvlText w:val="%2."/>
      <w:lvlJc w:val="left"/>
      <w:pPr>
        <w:tabs>
          <w:tab w:val="num" w:pos="1440"/>
        </w:tabs>
        <w:ind w:left="1440" w:hanging="360"/>
      </w:pPr>
    </w:lvl>
    <w:lvl w:ilvl="2" w:tplc="BB22B154" w:tentative="1">
      <w:start w:val="1"/>
      <w:numFmt w:val="decimal"/>
      <w:lvlText w:val="%3."/>
      <w:lvlJc w:val="left"/>
      <w:pPr>
        <w:tabs>
          <w:tab w:val="num" w:pos="2160"/>
        </w:tabs>
        <w:ind w:left="2160" w:hanging="360"/>
      </w:pPr>
    </w:lvl>
    <w:lvl w:ilvl="3" w:tplc="716CCC7A" w:tentative="1">
      <w:start w:val="1"/>
      <w:numFmt w:val="decimal"/>
      <w:lvlText w:val="%4."/>
      <w:lvlJc w:val="left"/>
      <w:pPr>
        <w:tabs>
          <w:tab w:val="num" w:pos="2880"/>
        </w:tabs>
        <w:ind w:left="2880" w:hanging="360"/>
      </w:pPr>
    </w:lvl>
    <w:lvl w:ilvl="4" w:tplc="FA3679C8" w:tentative="1">
      <w:start w:val="1"/>
      <w:numFmt w:val="decimal"/>
      <w:lvlText w:val="%5."/>
      <w:lvlJc w:val="left"/>
      <w:pPr>
        <w:tabs>
          <w:tab w:val="num" w:pos="3600"/>
        </w:tabs>
        <w:ind w:left="3600" w:hanging="360"/>
      </w:pPr>
    </w:lvl>
    <w:lvl w:ilvl="5" w:tplc="73060DF0" w:tentative="1">
      <w:start w:val="1"/>
      <w:numFmt w:val="decimal"/>
      <w:lvlText w:val="%6."/>
      <w:lvlJc w:val="left"/>
      <w:pPr>
        <w:tabs>
          <w:tab w:val="num" w:pos="4320"/>
        </w:tabs>
        <w:ind w:left="4320" w:hanging="360"/>
      </w:pPr>
    </w:lvl>
    <w:lvl w:ilvl="6" w:tplc="F5FEB69E" w:tentative="1">
      <w:start w:val="1"/>
      <w:numFmt w:val="decimal"/>
      <w:lvlText w:val="%7."/>
      <w:lvlJc w:val="left"/>
      <w:pPr>
        <w:tabs>
          <w:tab w:val="num" w:pos="5040"/>
        </w:tabs>
        <w:ind w:left="5040" w:hanging="360"/>
      </w:pPr>
    </w:lvl>
    <w:lvl w:ilvl="7" w:tplc="56A2114A" w:tentative="1">
      <w:start w:val="1"/>
      <w:numFmt w:val="decimal"/>
      <w:lvlText w:val="%8."/>
      <w:lvlJc w:val="left"/>
      <w:pPr>
        <w:tabs>
          <w:tab w:val="num" w:pos="5760"/>
        </w:tabs>
        <w:ind w:left="5760" w:hanging="360"/>
      </w:pPr>
    </w:lvl>
    <w:lvl w:ilvl="8" w:tplc="A050BEAA" w:tentative="1">
      <w:start w:val="1"/>
      <w:numFmt w:val="decimal"/>
      <w:lvlText w:val="%9."/>
      <w:lvlJc w:val="left"/>
      <w:pPr>
        <w:tabs>
          <w:tab w:val="num" w:pos="6480"/>
        </w:tabs>
        <w:ind w:left="6480" w:hanging="360"/>
      </w:pPr>
    </w:lvl>
  </w:abstractNum>
  <w:abstractNum w:abstractNumId="7" w15:restartNumberingAfterBreak="0">
    <w:nsid w:val="1B6954C1"/>
    <w:multiLevelType w:val="hybridMultilevel"/>
    <w:tmpl w:val="72D28354"/>
    <w:lvl w:ilvl="0" w:tplc="9EF6F482">
      <w:start w:val="2"/>
      <w:numFmt w:val="upperLetter"/>
      <w:lvlText w:val="%1."/>
      <w:lvlJc w:val="left"/>
      <w:pPr>
        <w:tabs>
          <w:tab w:val="num" w:pos="720"/>
        </w:tabs>
        <w:ind w:left="720" w:hanging="360"/>
      </w:pPr>
    </w:lvl>
    <w:lvl w:ilvl="1" w:tplc="CCF6B384" w:tentative="1">
      <w:start w:val="1"/>
      <w:numFmt w:val="decimal"/>
      <w:lvlText w:val="%2."/>
      <w:lvlJc w:val="left"/>
      <w:pPr>
        <w:tabs>
          <w:tab w:val="num" w:pos="1440"/>
        </w:tabs>
        <w:ind w:left="1440" w:hanging="360"/>
      </w:pPr>
    </w:lvl>
    <w:lvl w:ilvl="2" w:tplc="7FEC0962" w:tentative="1">
      <w:start w:val="1"/>
      <w:numFmt w:val="decimal"/>
      <w:lvlText w:val="%3."/>
      <w:lvlJc w:val="left"/>
      <w:pPr>
        <w:tabs>
          <w:tab w:val="num" w:pos="2160"/>
        </w:tabs>
        <w:ind w:left="2160" w:hanging="360"/>
      </w:pPr>
    </w:lvl>
    <w:lvl w:ilvl="3" w:tplc="5CC41DB4" w:tentative="1">
      <w:start w:val="1"/>
      <w:numFmt w:val="decimal"/>
      <w:lvlText w:val="%4."/>
      <w:lvlJc w:val="left"/>
      <w:pPr>
        <w:tabs>
          <w:tab w:val="num" w:pos="2880"/>
        </w:tabs>
        <w:ind w:left="2880" w:hanging="360"/>
      </w:pPr>
    </w:lvl>
    <w:lvl w:ilvl="4" w:tplc="C59C670A" w:tentative="1">
      <w:start w:val="1"/>
      <w:numFmt w:val="decimal"/>
      <w:lvlText w:val="%5."/>
      <w:lvlJc w:val="left"/>
      <w:pPr>
        <w:tabs>
          <w:tab w:val="num" w:pos="3600"/>
        </w:tabs>
        <w:ind w:left="3600" w:hanging="360"/>
      </w:pPr>
    </w:lvl>
    <w:lvl w:ilvl="5" w:tplc="89B6ABF2" w:tentative="1">
      <w:start w:val="1"/>
      <w:numFmt w:val="decimal"/>
      <w:lvlText w:val="%6."/>
      <w:lvlJc w:val="left"/>
      <w:pPr>
        <w:tabs>
          <w:tab w:val="num" w:pos="4320"/>
        </w:tabs>
        <w:ind w:left="4320" w:hanging="360"/>
      </w:pPr>
    </w:lvl>
    <w:lvl w:ilvl="6" w:tplc="DD20AB48" w:tentative="1">
      <w:start w:val="1"/>
      <w:numFmt w:val="decimal"/>
      <w:lvlText w:val="%7."/>
      <w:lvlJc w:val="left"/>
      <w:pPr>
        <w:tabs>
          <w:tab w:val="num" w:pos="5040"/>
        </w:tabs>
        <w:ind w:left="5040" w:hanging="360"/>
      </w:pPr>
    </w:lvl>
    <w:lvl w:ilvl="7" w:tplc="5F969A62" w:tentative="1">
      <w:start w:val="1"/>
      <w:numFmt w:val="decimal"/>
      <w:lvlText w:val="%8."/>
      <w:lvlJc w:val="left"/>
      <w:pPr>
        <w:tabs>
          <w:tab w:val="num" w:pos="5760"/>
        </w:tabs>
        <w:ind w:left="5760" w:hanging="360"/>
      </w:pPr>
    </w:lvl>
    <w:lvl w:ilvl="8" w:tplc="0DCC9C1A" w:tentative="1">
      <w:start w:val="1"/>
      <w:numFmt w:val="decimal"/>
      <w:lvlText w:val="%9."/>
      <w:lvlJc w:val="left"/>
      <w:pPr>
        <w:tabs>
          <w:tab w:val="num" w:pos="6480"/>
        </w:tabs>
        <w:ind w:left="6480" w:hanging="360"/>
      </w:pPr>
    </w:lvl>
  </w:abstractNum>
  <w:abstractNum w:abstractNumId="8" w15:restartNumberingAfterBreak="0">
    <w:nsid w:val="21574082"/>
    <w:multiLevelType w:val="multilevel"/>
    <w:tmpl w:val="D8DADC1E"/>
    <w:lvl w:ilvl="0">
      <w:start w:val="1"/>
      <w:numFmt w:val="bullet"/>
      <w:lvlText w:val=""/>
      <w:lvlJc w:val="left"/>
      <w:pPr>
        <w:tabs>
          <w:tab w:val="num" w:pos="1440"/>
        </w:tabs>
        <w:ind w:left="1440" w:hanging="360"/>
      </w:pPr>
      <w:rPr>
        <w:rFonts w:ascii="Symbol" w:hAnsi="Symbol" w:hint="default"/>
        <w:sz w:val="20"/>
      </w:rPr>
    </w:lvl>
    <w:lvl w:ilvl="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9" w15:restartNumberingAfterBreak="0">
    <w:nsid w:val="22321697"/>
    <w:multiLevelType w:val="multilevel"/>
    <w:tmpl w:val="8604C790"/>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2E3284B"/>
    <w:multiLevelType w:val="hybridMultilevel"/>
    <w:tmpl w:val="F1C6E8D0"/>
    <w:lvl w:ilvl="0" w:tplc="2E98D48A">
      <w:start w:val="2"/>
      <w:numFmt w:val="upperLetter"/>
      <w:lvlText w:val="%1."/>
      <w:lvlJc w:val="left"/>
      <w:pPr>
        <w:tabs>
          <w:tab w:val="num" w:pos="2160"/>
        </w:tabs>
        <w:ind w:left="2160" w:hanging="360"/>
      </w:pPr>
    </w:lvl>
    <w:lvl w:ilvl="1" w:tplc="5F9099DA" w:tentative="1">
      <w:start w:val="1"/>
      <w:numFmt w:val="decimal"/>
      <w:lvlText w:val="%2."/>
      <w:lvlJc w:val="left"/>
      <w:pPr>
        <w:tabs>
          <w:tab w:val="num" w:pos="2880"/>
        </w:tabs>
        <w:ind w:left="2880" w:hanging="360"/>
      </w:pPr>
    </w:lvl>
    <w:lvl w:ilvl="2" w:tplc="A960507E" w:tentative="1">
      <w:start w:val="1"/>
      <w:numFmt w:val="decimal"/>
      <w:lvlText w:val="%3."/>
      <w:lvlJc w:val="left"/>
      <w:pPr>
        <w:tabs>
          <w:tab w:val="num" w:pos="3600"/>
        </w:tabs>
        <w:ind w:left="3600" w:hanging="360"/>
      </w:pPr>
    </w:lvl>
    <w:lvl w:ilvl="3" w:tplc="53EC13C8" w:tentative="1">
      <w:start w:val="1"/>
      <w:numFmt w:val="decimal"/>
      <w:lvlText w:val="%4."/>
      <w:lvlJc w:val="left"/>
      <w:pPr>
        <w:tabs>
          <w:tab w:val="num" w:pos="4320"/>
        </w:tabs>
        <w:ind w:left="4320" w:hanging="360"/>
      </w:pPr>
    </w:lvl>
    <w:lvl w:ilvl="4" w:tplc="41E66A5A" w:tentative="1">
      <w:start w:val="1"/>
      <w:numFmt w:val="decimal"/>
      <w:lvlText w:val="%5."/>
      <w:lvlJc w:val="left"/>
      <w:pPr>
        <w:tabs>
          <w:tab w:val="num" w:pos="5040"/>
        </w:tabs>
        <w:ind w:left="5040" w:hanging="360"/>
      </w:pPr>
    </w:lvl>
    <w:lvl w:ilvl="5" w:tplc="79F05790" w:tentative="1">
      <w:start w:val="1"/>
      <w:numFmt w:val="decimal"/>
      <w:lvlText w:val="%6."/>
      <w:lvlJc w:val="left"/>
      <w:pPr>
        <w:tabs>
          <w:tab w:val="num" w:pos="5760"/>
        </w:tabs>
        <w:ind w:left="5760" w:hanging="360"/>
      </w:pPr>
    </w:lvl>
    <w:lvl w:ilvl="6" w:tplc="B0A8A824" w:tentative="1">
      <w:start w:val="1"/>
      <w:numFmt w:val="decimal"/>
      <w:lvlText w:val="%7."/>
      <w:lvlJc w:val="left"/>
      <w:pPr>
        <w:tabs>
          <w:tab w:val="num" w:pos="6480"/>
        </w:tabs>
        <w:ind w:left="6480" w:hanging="360"/>
      </w:pPr>
    </w:lvl>
    <w:lvl w:ilvl="7" w:tplc="F1029A72" w:tentative="1">
      <w:start w:val="1"/>
      <w:numFmt w:val="decimal"/>
      <w:lvlText w:val="%8."/>
      <w:lvlJc w:val="left"/>
      <w:pPr>
        <w:tabs>
          <w:tab w:val="num" w:pos="7200"/>
        </w:tabs>
        <w:ind w:left="7200" w:hanging="360"/>
      </w:pPr>
    </w:lvl>
    <w:lvl w:ilvl="8" w:tplc="9DBA874C" w:tentative="1">
      <w:start w:val="1"/>
      <w:numFmt w:val="decimal"/>
      <w:lvlText w:val="%9."/>
      <w:lvlJc w:val="left"/>
      <w:pPr>
        <w:tabs>
          <w:tab w:val="num" w:pos="7920"/>
        </w:tabs>
        <w:ind w:left="7920" w:hanging="360"/>
      </w:pPr>
    </w:lvl>
  </w:abstractNum>
  <w:abstractNum w:abstractNumId="11" w15:restartNumberingAfterBreak="0">
    <w:nsid w:val="25A8619B"/>
    <w:multiLevelType w:val="hybridMultilevel"/>
    <w:tmpl w:val="A0EAA7D2"/>
    <w:lvl w:ilvl="0" w:tplc="B06CC750">
      <w:start w:val="3"/>
      <w:numFmt w:val="upperRoman"/>
      <w:lvlText w:val="%1."/>
      <w:lvlJc w:val="right"/>
      <w:pPr>
        <w:tabs>
          <w:tab w:val="num" w:pos="720"/>
        </w:tabs>
        <w:ind w:left="720" w:hanging="360"/>
      </w:pPr>
    </w:lvl>
    <w:lvl w:ilvl="1" w:tplc="E4A6718E">
      <w:start w:val="1"/>
      <w:numFmt w:val="decimal"/>
      <w:lvlText w:val="%2."/>
      <w:lvlJc w:val="left"/>
      <w:pPr>
        <w:tabs>
          <w:tab w:val="num" w:pos="1440"/>
        </w:tabs>
        <w:ind w:left="1440" w:hanging="360"/>
      </w:pPr>
    </w:lvl>
    <w:lvl w:ilvl="2" w:tplc="B8065BDE" w:tentative="1">
      <w:start w:val="1"/>
      <w:numFmt w:val="decimal"/>
      <w:lvlText w:val="%3."/>
      <w:lvlJc w:val="left"/>
      <w:pPr>
        <w:tabs>
          <w:tab w:val="num" w:pos="2160"/>
        </w:tabs>
        <w:ind w:left="2160" w:hanging="360"/>
      </w:pPr>
    </w:lvl>
    <w:lvl w:ilvl="3" w:tplc="B6602AF8" w:tentative="1">
      <w:start w:val="1"/>
      <w:numFmt w:val="decimal"/>
      <w:lvlText w:val="%4."/>
      <w:lvlJc w:val="left"/>
      <w:pPr>
        <w:tabs>
          <w:tab w:val="num" w:pos="2880"/>
        </w:tabs>
        <w:ind w:left="2880" w:hanging="360"/>
      </w:pPr>
    </w:lvl>
    <w:lvl w:ilvl="4" w:tplc="F7FAD796" w:tentative="1">
      <w:start w:val="1"/>
      <w:numFmt w:val="decimal"/>
      <w:lvlText w:val="%5."/>
      <w:lvlJc w:val="left"/>
      <w:pPr>
        <w:tabs>
          <w:tab w:val="num" w:pos="3600"/>
        </w:tabs>
        <w:ind w:left="3600" w:hanging="360"/>
      </w:pPr>
    </w:lvl>
    <w:lvl w:ilvl="5" w:tplc="38B4CB2C" w:tentative="1">
      <w:start w:val="1"/>
      <w:numFmt w:val="decimal"/>
      <w:lvlText w:val="%6."/>
      <w:lvlJc w:val="left"/>
      <w:pPr>
        <w:tabs>
          <w:tab w:val="num" w:pos="4320"/>
        </w:tabs>
        <w:ind w:left="4320" w:hanging="360"/>
      </w:pPr>
    </w:lvl>
    <w:lvl w:ilvl="6" w:tplc="F3E2A824" w:tentative="1">
      <w:start w:val="1"/>
      <w:numFmt w:val="decimal"/>
      <w:lvlText w:val="%7."/>
      <w:lvlJc w:val="left"/>
      <w:pPr>
        <w:tabs>
          <w:tab w:val="num" w:pos="5040"/>
        </w:tabs>
        <w:ind w:left="5040" w:hanging="360"/>
      </w:pPr>
    </w:lvl>
    <w:lvl w:ilvl="7" w:tplc="E53493E0" w:tentative="1">
      <w:start w:val="1"/>
      <w:numFmt w:val="decimal"/>
      <w:lvlText w:val="%8."/>
      <w:lvlJc w:val="left"/>
      <w:pPr>
        <w:tabs>
          <w:tab w:val="num" w:pos="5760"/>
        </w:tabs>
        <w:ind w:left="5760" w:hanging="360"/>
      </w:pPr>
    </w:lvl>
    <w:lvl w:ilvl="8" w:tplc="903E33D6" w:tentative="1">
      <w:start w:val="1"/>
      <w:numFmt w:val="decimal"/>
      <w:lvlText w:val="%9."/>
      <w:lvlJc w:val="left"/>
      <w:pPr>
        <w:tabs>
          <w:tab w:val="num" w:pos="6480"/>
        </w:tabs>
        <w:ind w:left="6480" w:hanging="360"/>
      </w:pPr>
    </w:lvl>
  </w:abstractNum>
  <w:abstractNum w:abstractNumId="12" w15:restartNumberingAfterBreak="0">
    <w:nsid w:val="29CD6AEC"/>
    <w:multiLevelType w:val="multilevel"/>
    <w:tmpl w:val="3E2A62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84A3653"/>
    <w:multiLevelType w:val="multilevel"/>
    <w:tmpl w:val="951A94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8E97571"/>
    <w:multiLevelType w:val="multilevel"/>
    <w:tmpl w:val="93548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67C4983"/>
    <w:multiLevelType w:val="multilevel"/>
    <w:tmpl w:val="6710374A"/>
    <w:styleLink w:val="CurrentList1"/>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4B3025C8"/>
    <w:multiLevelType w:val="multilevel"/>
    <w:tmpl w:val="5DE80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0A21874"/>
    <w:multiLevelType w:val="hybridMultilevel"/>
    <w:tmpl w:val="A41C3CD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2DB61C4"/>
    <w:multiLevelType w:val="multilevel"/>
    <w:tmpl w:val="E67CC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CD05D3D"/>
    <w:multiLevelType w:val="multilevel"/>
    <w:tmpl w:val="580652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D7631E2"/>
    <w:multiLevelType w:val="multilevel"/>
    <w:tmpl w:val="0AF6EF6C"/>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tabs>
          <w:tab w:val="num" w:pos="1440"/>
        </w:tabs>
        <w:ind w:left="1440" w:hanging="360"/>
      </w:pPr>
      <w:rPr>
        <w:rFonts w:ascii="Times New Roman" w:eastAsia="Times New Roman" w:hAnsi="Times New Roman" w:cs="Times New Roman"/>
        <w:sz w:val="20"/>
      </w:rPr>
    </w:lvl>
    <w:lvl w:ilvl="2">
      <w:start w:val="1"/>
      <w:numFmt w:val="bullet"/>
      <w:lvlText w:val=""/>
      <w:lvlJc w:val="left"/>
      <w:pPr>
        <w:ind w:left="2160" w:hanging="360"/>
      </w:pPr>
      <w:rPr>
        <w:rFonts w:ascii="Symbol" w:hAnsi="Symbol" w:hint="default"/>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D932C3C"/>
    <w:multiLevelType w:val="hybridMultilevel"/>
    <w:tmpl w:val="5562E174"/>
    <w:lvl w:ilvl="0" w:tplc="A1969DC8">
      <w:start w:val="2"/>
      <w:numFmt w:val="upperRoman"/>
      <w:lvlText w:val="%1."/>
      <w:lvlJc w:val="right"/>
      <w:pPr>
        <w:tabs>
          <w:tab w:val="num" w:pos="720"/>
        </w:tabs>
        <w:ind w:left="720" w:hanging="360"/>
      </w:pPr>
    </w:lvl>
    <w:lvl w:ilvl="1" w:tplc="90FCAE5C" w:tentative="1">
      <w:start w:val="1"/>
      <w:numFmt w:val="decimal"/>
      <w:lvlText w:val="%2."/>
      <w:lvlJc w:val="left"/>
      <w:pPr>
        <w:tabs>
          <w:tab w:val="num" w:pos="1440"/>
        </w:tabs>
        <w:ind w:left="1440" w:hanging="360"/>
      </w:pPr>
    </w:lvl>
    <w:lvl w:ilvl="2" w:tplc="9F5E697A" w:tentative="1">
      <w:start w:val="1"/>
      <w:numFmt w:val="decimal"/>
      <w:lvlText w:val="%3."/>
      <w:lvlJc w:val="left"/>
      <w:pPr>
        <w:tabs>
          <w:tab w:val="num" w:pos="2160"/>
        </w:tabs>
        <w:ind w:left="2160" w:hanging="360"/>
      </w:pPr>
    </w:lvl>
    <w:lvl w:ilvl="3" w:tplc="FD72ACC8" w:tentative="1">
      <w:start w:val="1"/>
      <w:numFmt w:val="decimal"/>
      <w:lvlText w:val="%4."/>
      <w:lvlJc w:val="left"/>
      <w:pPr>
        <w:tabs>
          <w:tab w:val="num" w:pos="2880"/>
        </w:tabs>
        <w:ind w:left="2880" w:hanging="360"/>
      </w:pPr>
    </w:lvl>
    <w:lvl w:ilvl="4" w:tplc="15442DCC" w:tentative="1">
      <w:start w:val="1"/>
      <w:numFmt w:val="decimal"/>
      <w:lvlText w:val="%5."/>
      <w:lvlJc w:val="left"/>
      <w:pPr>
        <w:tabs>
          <w:tab w:val="num" w:pos="3600"/>
        </w:tabs>
        <w:ind w:left="3600" w:hanging="360"/>
      </w:pPr>
    </w:lvl>
    <w:lvl w:ilvl="5" w:tplc="6F00C08A" w:tentative="1">
      <w:start w:val="1"/>
      <w:numFmt w:val="decimal"/>
      <w:lvlText w:val="%6."/>
      <w:lvlJc w:val="left"/>
      <w:pPr>
        <w:tabs>
          <w:tab w:val="num" w:pos="4320"/>
        </w:tabs>
        <w:ind w:left="4320" w:hanging="360"/>
      </w:pPr>
    </w:lvl>
    <w:lvl w:ilvl="6" w:tplc="FAF2A246" w:tentative="1">
      <w:start w:val="1"/>
      <w:numFmt w:val="decimal"/>
      <w:lvlText w:val="%7."/>
      <w:lvlJc w:val="left"/>
      <w:pPr>
        <w:tabs>
          <w:tab w:val="num" w:pos="5040"/>
        </w:tabs>
        <w:ind w:left="5040" w:hanging="360"/>
      </w:pPr>
    </w:lvl>
    <w:lvl w:ilvl="7" w:tplc="E1F07A1C" w:tentative="1">
      <w:start w:val="1"/>
      <w:numFmt w:val="decimal"/>
      <w:lvlText w:val="%8."/>
      <w:lvlJc w:val="left"/>
      <w:pPr>
        <w:tabs>
          <w:tab w:val="num" w:pos="5760"/>
        </w:tabs>
        <w:ind w:left="5760" w:hanging="360"/>
      </w:pPr>
    </w:lvl>
    <w:lvl w:ilvl="8" w:tplc="F1D292EC" w:tentative="1">
      <w:start w:val="1"/>
      <w:numFmt w:val="decimal"/>
      <w:lvlText w:val="%9."/>
      <w:lvlJc w:val="left"/>
      <w:pPr>
        <w:tabs>
          <w:tab w:val="num" w:pos="6480"/>
        </w:tabs>
        <w:ind w:left="6480" w:hanging="360"/>
      </w:pPr>
    </w:lvl>
  </w:abstractNum>
  <w:abstractNum w:abstractNumId="22" w15:restartNumberingAfterBreak="0">
    <w:nsid w:val="61DF03E5"/>
    <w:multiLevelType w:val="multilevel"/>
    <w:tmpl w:val="15745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3CF5A3C"/>
    <w:multiLevelType w:val="hybridMultilevel"/>
    <w:tmpl w:val="7F6A7A80"/>
    <w:lvl w:ilvl="0" w:tplc="04090001">
      <w:start w:val="1"/>
      <w:numFmt w:val="bullet"/>
      <w:lvlText w:val=""/>
      <w:lvlJc w:val="left"/>
      <w:pPr>
        <w:ind w:left="1440" w:hanging="360"/>
      </w:pPr>
      <w:rPr>
        <w:rFonts w:ascii="Symbol" w:hAnsi="Symbol"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4" w15:restartNumberingAfterBreak="0">
    <w:nsid w:val="650C49BA"/>
    <w:multiLevelType w:val="multilevel"/>
    <w:tmpl w:val="4E6C1C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5B6333D"/>
    <w:multiLevelType w:val="multilevel"/>
    <w:tmpl w:val="76EA5D96"/>
    <w:lvl w:ilvl="0">
      <w:start w:val="1"/>
      <w:numFmt w:val="upperRoman"/>
      <w:lvlText w:val="%1."/>
      <w:lvlJc w:val="right"/>
      <w:pPr>
        <w:ind w:left="720" w:hanging="360"/>
      </w:pPr>
      <w:rPr>
        <w:rFonts w:hint="default"/>
        <w:sz w:val="20"/>
      </w:rPr>
    </w:lvl>
    <w:lvl w:ilvl="1">
      <w:start w:val="1"/>
      <w:numFmt w:val="upperLetter"/>
      <w:lvlText w:val="%2."/>
      <w:lvlJc w:val="left"/>
      <w:pPr>
        <w:tabs>
          <w:tab w:val="num" w:pos="1440"/>
        </w:tabs>
        <w:ind w:left="1440" w:hanging="360"/>
      </w:pPr>
      <w:rPr>
        <w:rFonts w:ascii="Times New Roman" w:eastAsia="Times New Roman" w:hAnsi="Times New Roman" w:cs="Times New Roman"/>
        <w:b w:val="0"/>
        <w:bCs w:val="0"/>
        <w:i/>
        <w:iCs/>
        <w:sz w:val="20"/>
      </w:rPr>
    </w:lvl>
    <w:lvl w:ilvl="2">
      <w:start w:val="1"/>
      <w:numFmt w:val="bullet"/>
      <w:lvlText w:val=""/>
      <w:lvlJc w:val="left"/>
      <w:pPr>
        <w:ind w:left="2160" w:hanging="360"/>
      </w:pPr>
      <w:rPr>
        <w:rFonts w:ascii="Symbol" w:hAnsi="Symbol" w:hint="default"/>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A980F4F"/>
    <w:multiLevelType w:val="multilevel"/>
    <w:tmpl w:val="E2E4D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D5C1F7D"/>
    <w:multiLevelType w:val="multilevel"/>
    <w:tmpl w:val="5DE0B1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F753729"/>
    <w:multiLevelType w:val="multilevel"/>
    <w:tmpl w:val="76EA5D96"/>
    <w:lvl w:ilvl="0">
      <w:start w:val="1"/>
      <w:numFmt w:val="upperRoman"/>
      <w:lvlText w:val="%1."/>
      <w:lvlJc w:val="right"/>
      <w:pPr>
        <w:ind w:left="360" w:hanging="360"/>
      </w:pPr>
      <w:rPr>
        <w:rFonts w:hint="default"/>
        <w:sz w:val="20"/>
      </w:rPr>
    </w:lvl>
    <w:lvl w:ilvl="1">
      <w:start w:val="1"/>
      <w:numFmt w:val="upperLetter"/>
      <w:lvlText w:val="%2."/>
      <w:lvlJc w:val="left"/>
      <w:pPr>
        <w:tabs>
          <w:tab w:val="num" w:pos="1080"/>
        </w:tabs>
        <w:ind w:left="1080" w:hanging="360"/>
      </w:pPr>
      <w:rPr>
        <w:rFonts w:ascii="Times New Roman" w:eastAsia="Times New Roman" w:hAnsi="Times New Roman" w:cs="Times New Roman"/>
        <w:b w:val="0"/>
        <w:bCs w:val="0"/>
        <w:i/>
        <w:iCs/>
        <w:sz w:val="20"/>
      </w:rPr>
    </w:lvl>
    <w:lvl w:ilvl="2">
      <w:start w:val="1"/>
      <w:numFmt w:val="bullet"/>
      <w:lvlText w:val=""/>
      <w:lvlJc w:val="left"/>
      <w:pPr>
        <w:ind w:left="1800" w:hanging="360"/>
      </w:pPr>
      <w:rPr>
        <w:rFonts w:ascii="Symbol" w:hAnsi="Symbol" w:hint="default"/>
      </w:rPr>
    </w:lvl>
    <w:lvl w:ilvl="3">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9" w15:restartNumberingAfterBreak="0">
    <w:nsid w:val="719A7A27"/>
    <w:multiLevelType w:val="multilevel"/>
    <w:tmpl w:val="FC4EDCFA"/>
    <w:lvl w:ilvl="0">
      <w:start w:val="1"/>
      <w:numFmt w:val="bullet"/>
      <w:lvlText w:val=""/>
      <w:lvlJc w:val="left"/>
      <w:pPr>
        <w:tabs>
          <w:tab w:val="num" w:pos="2880"/>
        </w:tabs>
        <w:ind w:left="2880" w:hanging="360"/>
      </w:pPr>
      <w:rPr>
        <w:rFonts w:ascii="Symbol" w:hAnsi="Symbol" w:hint="default"/>
        <w:sz w:val="20"/>
      </w:rPr>
    </w:lvl>
    <w:lvl w:ilvl="1" w:tentative="1">
      <w:start w:val="1"/>
      <w:numFmt w:val="bullet"/>
      <w:lvlText w:val="o"/>
      <w:lvlJc w:val="left"/>
      <w:pPr>
        <w:tabs>
          <w:tab w:val="num" w:pos="3600"/>
        </w:tabs>
        <w:ind w:left="3600" w:hanging="360"/>
      </w:pPr>
      <w:rPr>
        <w:rFonts w:ascii="Courier New" w:hAnsi="Courier New" w:hint="default"/>
        <w:sz w:val="20"/>
      </w:rPr>
    </w:lvl>
    <w:lvl w:ilvl="2" w:tentative="1">
      <w:start w:val="1"/>
      <w:numFmt w:val="bullet"/>
      <w:lvlText w:val=""/>
      <w:lvlJc w:val="left"/>
      <w:pPr>
        <w:tabs>
          <w:tab w:val="num" w:pos="4320"/>
        </w:tabs>
        <w:ind w:left="4320" w:hanging="360"/>
      </w:pPr>
      <w:rPr>
        <w:rFonts w:ascii="Wingdings" w:hAnsi="Wingdings" w:hint="default"/>
        <w:sz w:val="20"/>
      </w:rPr>
    </w:lvl>
    <w:lvl w:ilvl="3" w:tentative="1">
      <w:start w:val="1"/>
      <w:numFmt w:val="bullet"/>
      <w:lvlText w:val=""/>
      <w:lvlJc w:val="left"/>
      <w:pPr>
        <w:tabs>
          <w:tab w:val="num" w:pos="5040"/>
        </w:tabs>
        <w:ind w:left="5040" w:hanging="360"/>
      </w:pPr>
      <w:rPr>
        <w:rFonts w:ascii="Wingdings" w:hAnsi="Wingdings" w:hint="default"/>
        <w:sz w:val="20"/>
      </w:rPr>
    </w:lvl>
    <w:lvl w:ilvl="4" w:tentative="1">
      <w:start w:val="1"/>
      <w:numFmt w:val="bullet"/>
      <w:lvlText w:val=""/>
      <w:lvlJc w:val="left"/>
      <w:pPr>
        <w:tabs>
          <w:tab w:val="num" w:pos="5760"/>
        </w:tabs>
        <w:ind w:left="5760" w:hanging="360"/>
      </w:pPr>
      <w:rPr>
        <w:rFonts w:ascii="Wingdings" w:hAnsi="Wingdings" w:hint="default"/>
        <w:sz w:val="20"/>
      </w:rPr>
    </w:lvl>
    <w:lvl w:ilvl="5" w:tentative="1">
      <w:start w:val="1"/>
      <w:numFmt w:val="bullet"/>
      <w:lvlText w:val=""/>
      <w:lvlJc w:val="left"/>
      <w:pPr>
        <w:tabs>
          <w:tab w:val="num" w:pos="6480"/>
        </w:tabs>
        <w:ind w:left="6480" w:hanging="360"/>
      </w:pPr>
      <w:rPr>
        <w:rFonts w:ascii="Wingdings" w:hAnsi="Wingdings" w:hint="default"/>
        <w:sz w:val="20"/>
      </w:rPr>
    </w:lvl>
    <w:lvl w:ilvl="6" w:tentative="1">
      <w:start w:val="1"/>
      <w:numFmt w:val="bullet"/>
      <w:lvlText w:val=""/>
      <w:lvlJc w:val="left"/>
      <w:pPr>
        <w:tabs>
          <w:tab w:val="num" w:pos="7200"/>
        </w:tabs>
        <w:ind w:left="7200" w:hanging="360"/>
      </w:pPr>
      <w:rPr>
        <w:rFonts w:ascii="Wingdings" w:hAnsi="Wingdings" w:hint="default"/>
        <w:sz w:val="20"/>
      </w:rPr>
    </w:lvl>
    <w:lvl w:ilvl="7" w:tentative="1">
      <w:start w:val="1"/>
      <w:numFmt w:val="bullet"/>
      <w:lvlText w:val=""/>
      <w:lvlJc w:val="left"/>
      <w:pPr>
        <w:tabs>
          <w:tab w:val="num" w:pos="7920"/>
        </w:tabs>
        <w:ind w:left="7920" w:hanging="360"/>
      </w:pPr>
      <w:rPr>
        <w:rFonts w:ascii="Wingdings" w:hAnsi="Wingdings" w:hint="default"/>
        <w:sz w:val="20"/>
      </w:rPr>
    </w:lvl>
    <w:lvl w:ilvl="8" w:tentative="1">
      <w:start w:val="1"/>
      <w:numFmt w:val="bullet"/>
      <w:lvlText w:val=""/>
      <w:lvlJc w:val="left"/>
      <w:pPr>
        <w:tabs>
          <w:tab w:val="num" w:pos="8640"/>
        </w:tabs>
        <w:ind w:left="8640" w:hanging="360"/>
      </w:pPr>
      <w:rPr>
        <w:rFonts w:ascii="Wingdings" w:hAnsi="Wingdings" w:hint="default"/>
        <w:sz w:val="20"/>
      </w:rPr>
    </w:lvl>
  </w:abstractNum>
  <w:abstractNum w:abstractNumId="30" w15:restartNumberingAfterBreak="0">
    <w:nsid w:val="7907618B"/>
    <w:multiLevelType w:val="hybridMultilevel"/>
    <w:tmpl w:val="52E2438C"/>
    <w:lvl w:ilvl="0" w:tplc="275ECC66">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97841FE"/>
    <w:multiLevelType w:val="multilevel"/>
    <w:tmpl w:val="C520D5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44802659">
    <w:abstractNumId w:val="24"/>
    <w:lvlOverride w:ilvl="0">
      <w:lvl w:ilvl="0">
        <w:numFmt w:val="upperRoman"/>
        <w:lvlText w:val="%1."/>
        <w:lvlJc w:val="right"/>
      </w:lvl>
    </w:lvlOverride>
  </w:num>
  <w:num w:numId="2" w16cid:durableId="1508788457">
    <w:abstractNumId w:val="14"/>
  </w:num>
  <w:num w:numId="3" w16cid:durableId="1891762902">
    <w:abstractNumId w:val="4"/>
  </w:num>
  <w:num w:numId="4" w16cid:durableId="993336026">
    <w:abstractNumId w:val="31"/>
  </w:num>
  <w:num w:numId="5" w16cid:durableId="1912499204">
    <w:abstractNumId w:val="11"/>
  </w:num>
  <w:num w:numId="6" w16cid:durableId="1429539705">
    <w:abstractNumId w:val="12"/>
  </w:num>
  <w:num w:numId="7" w16cid:durableId="912160437">
    <w:abstractNumId w:val="25"/>
  </w:num>
  <w:num w:numId="8" w16cid:durableId="649018888">
    <w:abstractNumId w:val="20"/>
  </w:num>
  <w:num w:numId="9" w16cid:durableId="2043626882">
    <w:abstractNumId w:val="27"/>
    <w:lvlOverride w:ilvl="0">
      <w:lvl w:ilvl="0">
        <w:numFmt w:val="upperLetter"/>
        <w:lvlText w:val="%1."/>
        <w:lvlJc w:val="left"/>
      </w:lvl>
    </w:lvlOverride>
  </w:num>
  <w:num w:numId="10" w16cid:durableId="2141654541">
    <w:abstractNumId w:val="29"/>
  </w:num>
  <w:num w:numId="11" w16cid:durableId="817186484">
    <w:abstractNumId w:val="2"/>
  </w:num>
  <w:num w:numId="12" w16cid:durableId="120340785">
    <w:abstractNumId w:val="10"/>
  </w:num>
  <w:num w:numId="13" w16cid:durableId="1666594861">
    <w:abstractNumId w:val="3"/>
  </w:num>
  <w:num w:numId="14" w16cid:durableId="619609506">
    <w:abstractNumId w:val="22"/>
  </w:num>
  <w:num w:numId="15" w16cid:durableId="1492065303">
    <w:abstractNumId w:val="5"/>
    <w:lvlOverride w:ilvl="0">
      <w:lvl w:ilvl="0">
        <w:numFmt w:val="upperLetter"/>
        <w:lvlText w:val="%1."/>
        <w:lvlJc w:val="left"/>
      </w:lvl>
    </w:lvlOverride>
  </w:num>
  <w:num w:numId="16" w16cid:durableId="1930692680">
    <w:abstractNumId w:val="8"/>
  </w:num>
  <w:num w:numId="17" w16cid:durableId="309209880">
    <w:abstractNumId w:val="7"/>
  </w:num>
  <w:num w:numId="18" w16cid:durableId="1235118082">
    <w:abstractNumId w:val="26"/>
  </w:num>
  <w:num w:numId="19" w16cid:durableId="157767473">
    <w:abstractNumId w:val="6"/>
  </w:num>
  <w:num w:numId="20" w16cid:durableId="1713994866">
    <w:abstractNumId w:val="16"/>
    <w:lvlOverride w:ilvl="0">
      <w:lvl w:ilvl="0">
        <w:numFmt w:val="bullet"/>
        <w:lvlText w:val="o"/>
        <w:lvlJc w:val="left"/>
        <w:pPr>
          <w:tabs>
            <w:tab w:val="num" w:pos="720"/>
          </w:tabs>
          <w:ind w:left="720" w:hanging="360"/>
        </w:pPr>
        <w:rPr>
          <w:rFonts w:ascii="Courier New" w:hAnsi="Courier New" w:hint="default"/>
          <w:sz w:val="20"/>
        </w:rPr>
      </w:lvl>
    </w:lvlOverride>
  </w:num>
  <w:num w:numId="21" w16cid:durableId="459811901">
    <w:abstractNumId w:val="1"/>
  </w:num>
  <w:num w:numId="22" w16cid:durableId="886526515">
    <w:abstractNumId w:val="19"/>
    <w:lvlOverride w:ilvl="0">
      <w:lvl w:ilvl="0">
        <w:numFmt w:val="upperRoman"/>
        <w:lvlText w:val="%1."/>
        <w:lvlJc w:val="right"/>
      </w:lvl>
    </w:lvlOverride>
  </w:num>
  <w:num w:numId="23" w16cid:durableId="560990846">
    <w:abstractNumId w:val="18"/>
  </w:num>
  <w:num w:numId="24" w16cid:durableId="745226546">
    <w:abstractNumId w:val="9"/>
  </w:num>
  <w:num w:numId="25" w16cid:durableId="24137885">
    <w:abstractNumId w:val="21"/>
  </w:num>
  <w:num w:numId="26" w16cid:durableId="1445953078">
    <w:abstractNumId w:val="9"/>
  </w:num>
  <w:num w:numId="27" w16cid:durableId="298801599">
    <w:abstractNumId w:val="9"/>
  </w:num>
  <w:num w:numId="28" w16cid:durableId="702943458">
    <w:abstractNumId w:val="9"/>
  </w:num>
  <w:num w:numId="29" w16cid:durableId="662971534">
    <w:abstractNumId w:val="13"/>
    <w:lvlOverride w:ilvl="0">
      <w:lvl w:ilvl="0">
        <w:numFmt w:val="lowerLetter"/>
        <w:lvlText w:val="%1."/>
        <w:lvlJc w:val="left"/>
      </w:lvl>
    </w:lvlOverride>
  </w:num>
  <w:num w:numId="30" w16cid:durableId="1361009913">
    <w:abstractNumId w:val="13"/>
    <w:lvlOverride w:ilvl="0">
      <w:lvl w:ilvl="0">
        <w:numFmt w:val="lowerLetter"/>
        <w:lvlText w:val="%1."/>
        <w:lvlJc w:val="left"/>
      </w:lvl>
    </w:lvlOverride>
  </w:num>
  <w:num w:numId="31" w16cid:durableId="1948270729">
    <w:abstractNumId w:val="13"/>
    <w:lvlOverride w:ilvl="0">
      <w:lvl w:ilvl="0">
        <w:numFmt w:val="lowerLetter"/>
        <w:lvlText w:val="%1."/>
        <w:lvlJc w:val="left"/>
      </w:lvl>
    </w:lvlOverride>
  </w:num>
  <w:num w:numId="32" w16cid:durableId="959148279">
    <w:abstractNumId w:val="13"/>
    <w:lvlOverride w:ilvl="0">
      <w:lvl w:ilvl="0">
        <w:numFmt w:val="lowerLetter"/>
        <w:lvlText w:val="%1."/>
        <w:lvlJc w:val="left"/>
      </w:lvl>
    </w:lvlOverride>
  </w:num>
  <w:num w:numId="33" w16cid:durableId="143545460">
    <w:abstractNumId w:val="30"/>
  </w:num>
  <w:num w:numId="34" w16cid:durableId="243493523">
    <w:abstractNumId w:val="0"/>
  </w:num>
  <w:num w:numId="35" w16cid:durableId="1852640704">
    <w:abstractNumId w:val="23"/>
  </w:num>
  <w:num w:numId="36" w16cid:durableId="1831403719">
    <w:abstractNumId w:val="28"/>
  </w:num>
  <w:num w:numId="37" w16cid:durableId="1745178599">
    <w:abstractNumId w:val="15"/>
  </w:num>
  <w:num w:numId="38" w16cid:durableId="77563565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131E"/>
    <w:rsid w:val="0000092C"/>
    <w:rsid w:val="00035D9A"/>
    <w:rsid w:val="00045929"/>
    <w:rsid w:val="00046734"/>
    <w:rsid w:val="00060B67"/>
    <w:rsid w:val="00071F1F"/>
    <w:rsid w:val="0008359C"/>
    <w:rsid w:val="000853BF"/>
    <w:rsid w:val="00111EF2"/>
    <w:rsid w:val="001534D2"/>
    <w:rsid w:val="001A7A18"/>
    <w:rsid w:val="001C4DF3"/>
    <w:rsid w:val="001E13E9"/>
    <w:rsid w:val="001E1603"/>
    <w:rsid w:val="00205F47"/>
    <w:rsid w:val="0021755A"/>
    <w:rsid w:val="00231C92"/>
    <w:rsid w:val="00287240"/>
    <w:rsid w:val="002B72B7"/>
    <w:rsid w:val="002F01C1"/>
    <w:rsid w:val="002F3ED6"/>
    <w:rsid w:val="002F47E9"/>
    <w:rsid w:val="003020A8"/>
    <w:rsid w:val="00315F26"/>
    <w:rsid w:val="0033421E"/>
    <w:rsid w:val="003858BA"/>
    <w:rsid w:val="00387006"/>
    <w:rsid w:val="0039691C"/>
    <w:rsid w:val="003B0B3E"/>
    <w:rsid w:val="003B4806"/>
    <w:rsid w:val="003B563A"/>
    <w:rsid w:val="003B6737"/>
    <w:rsid w:val="003C2CEF"/>
    <w:rsid w:val="003C7487"/>
    <w:rsid w:val="003D5B2C"/>
    <w:rsid w:val="003F4A63"/>
    <w:rsid w:val="0040563F"/>
    <w:rsid w:val="00432208"/>
    <w:rsid w:val="00432B61"/>
    <w:rsid w:val="00447A76"/>
    <w:rsid w:val="004700BD"/>
    <w:rsid w:val="0047225E"/>
    <w:rsid w:val="004A4837"/>
    <w:rsid w:val="004B177C"/>
    <w:rsid w:val="004D11D3"/>
    <w:rsid w:val="004E1BB4"/>
    <w:rsid w:val="004E790B"/>
    <w:rsid w:val="004E7E56"/>
    <w:rsid w:val="004E7F76"/>
    <w:rsid w:val="004F223B"/>
    <w:rsid w:val="00517429"/>
    <w:rsid w:val="00520740"/>
    <w:rsid w:val="005320CD"/>
    <w:rsid w:val="00532D72"/>
    <w:rsid w:val="005404D0"/>
    <w:rsid w:val="005770E0"/>
    <w:rsid w:val="0057793C"/>
    <w:rsid w:val="0058446B"/>
    <w:rsid w:val="005857ED"/>
    <w:rsid w:val="0058623A"/>
    <w:rsid w:val="005A290A"/>
    <w:rsid w:val="005A4D51"/>
    <w:rsid w:val="005A542F"/>
    <w:rsid w:val="005B2F97"/>
    <w:rsid w:val="005C2E9E"/>
    <w:rsid w:val="00625365"/>
    <w:rsid w:val="00627331"/>
    <w:rsid w:val="006500A6"/>
    <w:rsid w:val="006520CE"/>
    <w:rsid w:val="006633F4"/>
    <w:rsid w:val="00665F3E"/>
    <w:rsid w:val="006A5888"/>
    <w:rsid w:val="007107A4"/>
    <w:rsid w:val="00721A41"/>
    <w:rsid w:val="007739D9"/>
    <w:rsid w:val="007B06C9"/>
    <w:rsid w:val="007D5BF7"/>
    <w:rsid w:val="007F6ADF"/>
    <w:rsid w:val="00817F2F"/>
    <w:rsid w:val="00822407"/>
    <w:rsid w:val="0082285C"/>
    <w:rsid w:val="00850651"/>
    <w:rsid w:val="00855CC0"/>
    <w:rsid w:val="008A57EA"/>
    <w:rsid w:val="00915334"/>
    <w:rsid w:val="00926644"/>
    <w:rsid w:val="00933905"/>
    <w:rsid w:val="00944D50"/>
    <w:rsid w:val="00964EB6"/>
    <w:rsid w:val="00980ADB"/>
    <w:rsid w:val="00994182"/>
    <w:rsid w:val="009C4346"/>
    <w:rsid w:val="009F04AB"/>
    <w:rsid w:val="009F1078"/>
    <w:rsid w:val="00A1570B"/>
    <w:rsid w:val="00A22D28"/>
    <w:rsid w:val="00A450FF"/>
    <w:rsid w:val="00A813D3"/>
    <w:rsid w:val="00AA5393"/>
    <w:rsid w:val="00AA615B"/>
    <w:rsid w:val="00AB3249"/>
    <w:rsid w:val="00AE43EF"/>
    <w:rsid w:val="00AE7E41"/>
    <w:rsid w:val="00B175E8"/>
    <w:rsid w:val="00B76276"/>
    <w:rsid w:val="00BA12D8"/>
    <w:rsid w:val="00BB7C56"/>
    <w:rsid w:val="00BE3C50"/>
    <w:rsid w:val="00C00A14"/>
    <w:rsid w:val="00C4131E"/>
    <w:rsid w:val="00C61AF4"/>
    <w:rsid w:val="00C81156"/>
    <w:rsid w:val="00C92FFF"/>
    <w:rsid w:val="00CA1448"/>
    <w:rsid w:val="00CA48F3"/>
    <w:rsid w:val="00CB56D6"/>
    <w:rsid w:val="00CD52AB"/>
    <w:rsid w:val="00CD59A9"/>
    <w:rsid w:val="00D438D9"/>
    <w:rsid w:val="00D54167"/>
    <w:rsid w:val="00D54D3F"/>
    <w:rsid w:val="00D63BE3"/>
    <w:rsid w:val="00D967A4"/>
    <w:rsid w:val="00DB0194"/>
    <w:rsid w:val="00E138A4"/>
    <w:rsid w:val="00E627E5"/>
    <w:rsid w:val="00E732AF"/>
    <w:rsid w:val="00E87786"/>
    <w:rsid w:val="00EA143A"/>
    <w:rsid w:val="00ED0125"/>
    <w:rsid w:val="00EF4BCF"/>
    <w:rsid w:val="00F1081D"/>
    <w:rsid w:val="00F15D05"/>
    <w:rsid w:val="00F411D3"/>
    <w:rsid w:val="00F43329"/>
    <w:rsid w:val="00F5063A"/>
    <w:rsid w:val="00F65C57"/>
    <w:rsid w:val="00F91460"/>
    <w:rsid w:val="00FA53E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93B9DB"/>
  <w15:chartTrackingRefBased/>
  <w15:docId w15:val="{0F42E1C6-9743-4A85-B1F1-90AE0DC0AE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4346"/>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4131E"/>
    <w:pPr>
      <w:spacing w:before="100" w:beforeAutospacing="1" w:after="100" w:afterAutospacing="1"/>
    </w:pPr>
  </w:style>
  <w:style w:type="character" w:styleId="Hyperlink">
    <w:name w:val="Hyperlink"/>
    <w:basedOn w:val="DefaultParagraphFont"/>
    <w:uiPriority w:val="99"/>
    <w:unhideWhenUsed/>
    <w:rsid w:val="00C4131E"/>
    <w:rPr>
      <w:color w:val="0000FF"/>
      <w:u w:val="single"/>
    </w:rPr>
  </w:style>
  <w:style w:type="paragraph" w:styleId="ListParagraph">
    <w:name w:val="List Paragraph"/>
    <w:basedOn w:val="Normal"/>
    <w:uiPriority w:val="34"/>
    <w:qFormat/>
    <w:rsid w:val="00C4131E"/>
    <w:pPr>
      <w:ind w:left="720"/>
      <w:contextualSpacing/>
    </w:pPr>
  </w:style>
  <w:style w:type="character" w:styleId="Strong">
    <w:name w:val="Strong"/>
    <w:basedOn w:val="DefaultParagraphFont"/>
    <w:uiPriority w:val="22"/>
    <w:qFormat/>
    <w:rsid w:val="003C7487"/>
    <w:rPr>
      <w:b/>
      <w:bCs/>
    </w:rPr>
  </w:style>
  <w:style w:type="character" w:styleId="UnresolvedMention">
    <w:name w:val="Unresolved Mention"/>
    <w:basedOn w:val="DefaultParagraphFont"/>
    <w:uiPriority w:val="99"/>
    <w:semiHidden/>
    <w:unhideWhenUsed/>
    <w:rsid w:val="003C7487"/>
    <w:rPr>
      <w:color w:val="605E5C"/>
      <w:shd w:val="clear" w:color="auto" w:fill="E1DFDD"/>
    </w:rPr>
  </w:style>
  <w:style w:type="numbering" w:customStyle="1" w:styleId="CurrentList1">
    <w:name w:val="Current List1"/>
    <w:uiPriority w:val="99"/>
    <w:rsid w:val="00111EF2"/>
    <w:pPr>
      <w:numPr>
        <w:numId w:val="37"/>
      </w:numPr>
    </w:pPr>
  </w:style>
  <w:style w:type="character" w:styleId="CommentReference">
    <w:name w:val="annotation reference"/>
    <w:basedOn w:val="DefaultParagraphFont"/>
    <w:uiPriority w:val="99"/>
    <w:semiHidden/>
    <w:unhideWhenUsed/>
    <w:rsid w:val="00C61AF4"/>
    <w:rPr>
      <w:sz w:val="16"/>
      <w:szCs w:val="16"/>
    </w:rPr>
  </w:style>
  <w:style w:type="paragraph" w:styleId="CommentText">
    <w:name w:val="annotation text"/>
    <w:basedOn w:val="Normal"/>
    <w:link w:val="CommentTextChar"/>
    <w:uiPriority w:val="99"/>
    <w:unhideWhenUsed/>
    <w:rsid w:val="00C61AF4"/>
    <w:rPr>
      <w:sz w:val="20"/>
      <w:szCs w:val="20"/>
    </w:rPr>
  </w:style>
  <w:style w:type="character" w:customStyle="1" w:styleId="CommentTextChar">
    <w:name w:val="Comment Text Char"/>
    <w:basedOn w:val="DefaultParagraphFont"/>
    <w:link w:val="CommentText"/>
    <w:uiPriority w:val="99"/>
    <w:rsid w:val="00C61AF4"/>
    <w:rPr>
      <w:sz w:val="20"/>
      <w:szCs w:val="20"/>
    </w:rPr>
  </w:style>
  <w:style w:type="paragraph" w:styleId="CommentSubject">
    <w:name w:val="annotation subject"/>
    <w:basedOn w:val="CommentText"/>
    <w:next w:val="CommentText"/>
    <w:link w:val="CommentSubjectChar"/>
    <w:uiPriority w:val="99"/>
    <w:semiHidden/>
    <w:unhideWhenUsed/>
    <w:rsid w:val="00C61AF4"/>
    <w:rPr>
      <w:b/>
      <w:bCs/>
    </w:rPr>
  </w:style>
  <w:style w:type="character" w:customStyle="1" w:styleId="CommentSubjectChar">
    <w:name w:val="Comment Subject Char"/>
    <w:basedOn w:val="CommentTextChar"/>
    <w:link w:val="CommentSubject"/>
    <w:uiPriority w:val="99"/>
    <w:semiHidden/>
    <w:rsid w:val="00C61AF4"/>
    <w:rPr>
      <w:b/>
      <w:bCs/>
      <w:sz w:val="20"/>
      <w:szCs w:val="20"/>
    </w:rPr>
  </w:style>
  <w:style w:type="character" w:customStyle="1" w:styleId="ssit">
    <w:name w:val="ss_it"/>
    <w:basedOn w:val="DefaultParagraphFont"/>
    <w:rsid w:val="009F1078"/>
  </w:style>
  <w:style w:type="character" w:styleId="FollowedHyperlink">
    <w:name w:val="FollowedHyperlink"/>
    <w:basedOn w:val="DefaultParagraphFont"/>
    <w:uiPriority w:val="99"/>
    <w:semiHidden/>
    <w:unhideWhenUsed/>
    <w:rsid w:val="00A22D28"/>
    <w:rPr>
      <w:color w:val="954F72" w:themeColor="followedHyperlink"/>
      <w:u w:val="single"/>
    </w:rPr>
  </w:style>
  <w:style w:type="paragraph" w:styleId="FootnoteText">
    <w:name w:val="footnote text"/>
    <w:basedOn w:val="Normal"/>
    <w:link w:val="FootnoteTextChar"/>
    <w:uiPriority w:val="99"/>
    <w:semiHidden/>
    <w:unhideWhenUsed/>
    <w:rsid w:val="00BB7C56"/>
    <w:rPr>
      <w:sz w:val="20"/>
      <w:szCs w:val="20"/>
    </w:rPr>
  </w:style>
  <w:style w:type="character" w:customStyle="1" w:styleId="FootnoteTextChar">
    <w:name w:val="Footnote Text Char"/>
    <w:basedOn w:val="DefaultParagraphFont"/>
    <w:link w:val="FootnoteText"/>
    <w:uiPriority w:val="99"/>
    <w:semiHidden/>
    <w:rsid w:val="00BB7C56"/>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BB7C56"/>
    <w:rPr>
      <w:vertAlign w:val="superscript"/>
    </w:rPr>
  </w:style>
  <w:style w:type="character" w:styleId="Emphasis">
    <w:name w:val="Emphasis"/>
    <w:basedOn w:val="DefaultParagraphFont"/>
    <w:uiPriority w:val="20"/>
    <w:qFormat/>
    <w:rsid w:val="00D54D3F"/>
    <w:rPr>
      <w:i/>
      <w:iCs/>
    </w:rPr>
  </w:style>
  <w:style w:type="paragraph" w:styleId="Revision">
    <w:name w:val="Revision"/>
    <w:hidden/>
    <w:uiPriority w:val="99"/>
    <w:semiHidden/>
    <w:rsid w:val="00721A41"/>
    <w:rPr>
      <w:rFonts w:ascii="Times New Roman" w:eastAsia="Times New Roman" w:hAnsi="Times New Roman" w:cs="Times New Roman"/>
    </w:rPr>
  </w:style>
  <w:style w:type="paragraph" w:styleId="Footer">
    <w:name w:val="footer"/>
    <w:basedOn w:val="Normal"/>
    <w:link w:val="FooterChar"/>
    <w:uiPriority w:val="99"/>
    <w:unhideWhenUsed/>
    <w:rsid w:val="00CD59A9"/>
    <w:pPr>
      <w:tabs>
        <w:tab w:val="center" w:pos="4680"/>
        <w:tab w:val="right" w:pos="9360"/>
      </w:tabs>
    </w:pPr>
  </w:style>
  <w:style w:type="character" w:customStyle="1" w:styleId="FooterChar">
    <w:name w:val="Footer Char"/>
    <w:basedOn w:val="DefaultParagraphFont"/>
    <w:link w:val="Footer"/>
    <w:uiPriority w:val="99"/>
    <w:rsid w:val="00CD59A9"/>
    <w:rPr>
      <w:rFonts w:ascii="Times New Roman" w:eastAsia="Times New Roman" w:hAnsi="Times New Roman" w:cs="Times New Roman"/>
    </w:rPr>
  </w:style>
  <w:style w:type="character" w:styleId="PageNumber">
    <w:name w:val="page number"/>
    <w:basedOn w:val="DefaultParagraphFont"/>
    <w:uiPriority w:val="99"/>
    <w:semiHidden/>
    <w:unhideWhenUsed/>
    <w:rsid w:val="00CD59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753978">
      <w:bodyDiv w:val="1"/>
      <w:marLeft w:val="0"/>
      <w:marRight w:val="0"/>
      <w:marTop w:val="0"/>
      <w:marBottom w:val="0"/>
      <w:divBdr>
        <w:top w:val="none" w:sz="0" w:space="0" w:color="auto"/>
        <w:left w:val="none" w:sz="0" w:space="0" w:color="auto"/>
        <w:bottom w:val="none" w:sz="0" w:space="0" w:color="auto"/>
        <w:right w:val="none" w:sz="0" w:space="0" w:color="auto"/>
      </w:divBdr>
    </w:div>
    <w:div w:id="264000488">
      <w:bodyDiv w:val="1"/>
      <w:marLeft w:val="0"/>
      <w:marRight w:val="0"/>
      <w:marTop w:val="0"/>
      <w:marBottom w:val="0"/>
      <w:divBdr>
        <w:top w:val="none" w:sz="0" w:space="0" w:color="auto"/>
        <w:left w:val="none" w:sz="0" w:space="0" w:color="auto"/>
        <w:bottom w:val="none" w:sz="0" w:space="0" w:color="auto"/>
        <w:right w:val="none" w:sz="0" w:space="0" w:color="auto"/>
      </w:divBdr>
    </w:div>
    <w:div w:id="546382688">
      <w:bodyDiv w:val="1"/>
      <w:marLeft w:val="0"/>
      <w:marRight w:val="0"/>
      <w:marTop w:val="0"/>
      <w:marBottom w:val="0"/>
      <w:divBdr>
        <w:top w:val="none" w:sz="0" w:space="0" w:color="auto"/>
        <w:left w:val="none" w:sz="0" w:space="0" w:color="auto"/>
        <w:bottom w:val="none" w:sz="0" w:space="0" w:color="auto"/>
        <w:right w:val="none" w:sz="0" w:space="0" w:color="auto"/>
      </w:divBdr>
    </w:div>
    <w:div w:id="599526468">
      <w:bodyDiv w:val="1"/>
      <w:marLeft w:val="0"/>
      <w:marRight w:val="0"/>
      <w:marTop w:val="0"/>
      <w:marBottom w:val="0"/>
      <w:divBdr>
        <w:top w:val="none" w:sz="0" w:space="0" w:color="auto"/>
        <w:left w:val="none" w:sz="0" w:space="0" w:color="auto"/>
        <w:bottom w:val="none" w:sz="0" w:space="0" w:color="auto"/>
        <w:right w:val="none" w:sz="0" w:space="0" w:color="auto"/>
      </w:divBdr>
    </w:div>
    <w:div w:id="600066525">
      <w:bodyDiv w:val="1"/>
      <w:marLeft w:val="0"/>
      <w:marRight w:val="0"/>
      <w:marTop w:val="0"/>
      <w:marBottom w:val="0"/>
      <w:divBdr>
        <w:top w:val="none" w:sz="0" w:space="0" w:color="auto"/>
        <w:left w:val="none" w:sz="0" w:space="0" w:color="auto"/>
        <w:bottom w:val="none" w:sz="0" w:space="0" w:color="auto"/>
        <w:right w:val="none" w:sz="0" w:space="0" w:color="auto"/>
      </w:divBdr>
      <w:divsChild>
        <w:div w:id="1291401888">
          <w:marLeft w:val="0"/>
          <w:marRight w:val="0"/>
          <w:marTop w:val="0"/>
          <w:marBottom w:val="0"/>
          <w:divBdr>
            <w:top w:val="none" w:sz="0" w:space="0" w:color="3D3D3D"/>
            <w:left w:val="none" w:sz="0" w:space="0" w:color="3D3D3D"/>
            <w:bottom w:val="none" w:sz="0" w:space="0" w:color="3D3D3D"/>
            <w:right w:val="none" w:sz="0" w:space="0" w:color="3D3D3D"/>
          </w:divBdr>
          <w:divsChild>
            <w:div w:id="543104257">
              <w:marLeft w:val="0"/>
              <w:marRight w:val="0"/>
              <w:marTop w:val="0"/>
              <w:marBottom w:val="0"/>
              <w:divBdr>
                <w:top w:val="none" w:sz="0" w:space="0" w:color="3D3D3D"/>
                <w:left w:val="none" w:sz="0" w:space="0" w:color="3D3D3D"/>
                <w:bottom w:val="none" w:sz="0" w:space="0" w:color="3D3D3D"/>
                <w:right w:val="none" w:sz="0" w:space="0" w:color="3D3D3D"/>
              </w:divBdr>
            </w:div>
            <w:div w:id="1204633125">
              <w:marLeft w:val="0"/>
              <w:marRight w:val="0"/>
              <w:marTop w:val="220"/>
              <w:marBottom w:val="0"/>
              <w:divBdr>
                <w:top w:val="none" w:sz="0" w:space="0" w:color="3D3D3D"/>
                <w:left w:val="none" w:sz="0" w:space="11" w:color="3D3D3D"/>
                <w:bottom w:val="none" w:sz="0" w:space="0" w:color="3D3D3D"/>
                <w:right w:val="none" w:sz="0" w:space="0" w:color="3D3D3D"/>
              </w:divBdr>
              <w:divsChild>
                <w:div w:id="921529537">
                  <w:marLeft w:val="0"/>
                  <w:marRight w:val="0"/>
                  <w:marTop w:val="0"/>
                  <w:marBottom w:val="0"/>
                  <w:divBdr>
                    <w:top w:val="none" w:sz="0" w:space="0" w:color="3D3D3D"/>
                    <w:left w:val="none" w:sz="0" w:space="0" w:color="3D3D3D"/>
                    <w:bottom w:val="none" w:sz="0" w:space="0" w:color="3D3D3D"/>
                    <w:right w:val="none" w:sz="0" w:space="0" w:color="3D3D3D"/>
                  </w:divBdr>
                  <w:divsChild>
                    <w:div w:id="2135361591">
                      <w:blockQuote w:val="1"/>
                      <w:marLeft w:val="0"/>
                      <w:marRight w:val="0"/>
                      <w:marTop w:val="0"/>
                      <w:marBottom w:val="0"/>
                      <w:divBdr>
                        <w:top w:val="none" w:sz="0" w:space="11" w:color="3D3D3D"/>
                        <w:left w:val="none" w:sz="0" w:space="28" w:color="3D3D3D"/>
                        <w:bottom w:val="none" w:sz="0" w:space="11" w:color="3D3D3D"/>
                        <w:right w:val="none" w:sz="0" w:space="28" w:color="3D3D3D"/>
                      </w:divBdr>
                      <w:divsChild>
                        <w:div w:id="750930692">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sChild>
            </w:div>
            <w:div w:id="1472287177">
              <w:marLeft w:val="0"/>
              <w:marRight w:val="0"/>
              <w:marTop w:val="0"/>
              <w:marBottom w:val="0"/>
              <w:divBdr>
                <w:top w:val="none" w:sz="0" w:space="0" w:color="3D3D3D"/>
                <w:left w:val="none" w:sz="0" w:space="11" w:color="3D3D3D"/>
                <w:bottom w:val="none" w:sz="0" w:space="0" w:color="3D3D3D"/>
                <w:right w:val="none" w:sz="0" w:space="0" w:color="3D3D3D"/>
              </w:divBdr>
              <w:divsChild>
                <w:div w:id="2107114865">
                  <w:marLeft w:val="0"/>
                  <w:marRight w:val="0"/>
                  <w:marTop w:val="0"/>
                  <w:marBottom w:val="0"/>
                  <w:divBdr>
                    <w:top w:val="none" w:sz="0" w:space="0" w:color="3D3D3D"/>
                    <w:left w:val="none" w:sz="0" w:space="0" w:color="3D3D3D"/>
                    <w:bottom w:val="none" w:sz="0" w:space="0" w:color="3D3D3D"/>
                    <w:right w:val="none" w:sz="0" w:space="0" w:color="3D3D3D"/>
                  </w:divBdr>
                  <w:divsChild>
                    <w:div w:id="1370912319">
                      <w:blockQuote w:val="1"/>
                      <w:marLeft w:val="0"/>
                      <w:marRight w:val="0"/>
                      <w:marTop w:val="0"/>
                      <w:marBottom w:val="0"/>
                      <w:divBdr>
                        <w:top w:val="none" w:sz="0" w:space="11" w:color="3D3D3D"/>
                        <w:left w:val="none" w:sz="0" w:space="28" w:color="3D3D3D"/>
                        <w:bottom w:val="none" w:sz="0" w:space="11" w:color="3D3D3D"/>
                        <w:right w:val="none" w:sz="0" w:space="28" w:color="3D3D3D"/>
                      </w:divBdr>
                      <w:divsChild>
                        <w:div w:id="1558979198">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sChild>
            </w:div>
          </w:divsChild>
        </w:div>
      </w:divsChild>
    </w:div>
    <w:div w:id="664747213">
      <w:bodyDiv w:val="1"/>
      <w:marLeft w:val="0"/>
      <w:marRight w:val="0"/>
      <w:marTop w:val="0"/>
      <w:marBottom w:val="0"/>
      <w:divBdr>
        <w:top w:val="none" w:sz="0" w:space="0" w:color="auto"/>
        <w:left w:val="none" w:sz="0" w:space="0" w:color="auto"/>
        <w:bottom w:val="none" w:sz="0" w:space="0" w:color="auto"/>
        <w:right w:val="none" w:sz="0" w:space="0" w:color="auto"/>
      </w:divBdr>
    </w:div>
    <w:div w:id="1111363405">
      <w:bodyDiv w:val="1"/>
      <w:marLeft w:val="0"/>
      <w:marRight w:val="0"/>
      <w:marTop w:val="0"/>
      <w:marBottom w:val="0"/>
      <w:divBdr>
        <w:top w:val="none" w:sz="0" w:space="0" w:color="auto"/>
        <w:left w:val="none" w:sz="0" w:space="0" w:color="auto"/>
        <w:bottom w:val="none" w:sz="0" w:space="0" w:color="auto"/>
        <w:right w:val="none" w:sz="0" w:space="0" w:color="auto"/>
      </w:divBdr>
      <w:divsChild>
        <w:div w:id="735006771">
          <w:marLeft w:val="0"/>
          <w:marRight w:val="0"/>
          <w:marTop w:val="0"/>
          <w:marBottom w:val="0"/>
          <w:divBdr>
            <w:top w:val="none" w:sz="0" w:space="0" w:color="3D3D3D"/>
            <w:left w:val="none" w:sz="0" w:space="0" w:color="3D3D3D"/>
            <w:bottom w:val="none" w:sz="0" w:space="0" w:color="3D3D3D"/>
            <w:right w:val="none" w:sz="0" w:space="0" w:color="3D3D3D"/>
          </w:divBdr>
          <w:divsChild>
            <w:div w:id="104622722">
              <w:marLeft w:val="0"/>
              <w:marRight w:val="0"/>
              <w:marTop w:val="220"/>
              <w:marBottom w:val="0"/>
              <w:divBdr>
                <w:top w:val="none" w:sz="0" w:space="0" w:color="3D3D3D"/>
                <w:left w:val="none" w:sz="0" w:space="11" w:color="3D3D3D"/>
                <w:bottom w:val="none" w:sz="0" w:space="0" w:color="3D3D3D"/>
                <w:right w:val="none" w:sz="0" w:space="0" w:color="3D3D3D"/>
              </w:divBdr>
              <w:divsChild>
                <w:div w:id="16783348">
                  <w:marLeft w:val="0"/>
                  <w:marRight w:val="0"/>
                  <w:marTop w:val="0"/>
                  <w:marBottom w:val="0"/>
                  <w:divBdr>
                    <w:top w:val="none" w:sz="0" w:space="0" w:color="3D3D3D"/>
                    <w:left w:val="none" w:sz="0" w:space="0" w:color="3D3D3D"/>
                    <w:bottom w:val="none" w:sz="0" w:space="0" w:color="3D3D3D"/>
                    <w:right w:val="none" w:sz="0" w:space="0" w:color="3D3D3D"/>
                  </w:divBdr>
                  <w:divsChild>
                    <w:div w:id="1978759113">
                      <w:blockQuote w:val="1"/>
                      <w:marLeft w:val="0"/>
                      <w:marRight w:val="0"/>
                      <w:marTop w:val="0"/>
                      <w:marBottom w:val="0"/>
                      <w:divBdr>
                        <w:top w:val="none" w:sz="0" w:space="11" w:color="3D3D3D"/>
                        <w:left w:val="none" w:sz="0" w:space="28" w:color="3D3D3D"/>
                        <w:bottom w:val="none" w:sz="0" w:space="11" w:color="3D3D3D"/>
                        <w:right w:val="none" w:sz="0" w:space="28" w:color="3D3D3D"/>
                      </w:divBdr>
                      <w:divsChild>
                        <w:div w:id="958074991">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sChild>
            </w:div>
            <w:div w:id="484468257">
              <w:marLeft w:val="0"/>
              <w:marRight w:val="0"/>
              <w:marTop w:val="0"/>
              <w:marBottom w:val="0"/>
              <w:divBdr>
                <w:top w:val="none" w:sz="0" w:space="0" w:color="3D3D3D"/>
                <w:left w:val="none" w:sz="0" w:space="0" w:color="3D3D3D"/>
                <w:bottom w:val="none" w:sz="0" w:space="0" w:color="3D3D3D"/>
                <w:right w:val="none" w:sz="0" w:space="0" w:color="3D3D3D"/>
              </w:divBdr>
            </w:div>
            <w:div w:id="1429038435">
              <w:marLeft w:val="0"/>
              <w:marRight w:val="0"/>
              <w:marTop w:val="0"/>
              <w:marBottom w:val="0"/>
              <w:divBdr>
                <w:top w:val="none" w:sz="0" w:space="0" w:color="3D3D3D"/>
                <w:left w:val="none" w:sz="0" w:space="11" w:color="3D3D3D"/>
                <w:bottom w:val="none" w:sz="0" w:space="0" w:color="3D3D3D"/>
                <w:right w:val="none" w:sz="0" w:space="0" w:color="3D3D3D"/>
              </w:divBdr>
              <w:divsChild>
                <w:div w:id="244650398">
                  <w:marLeft w:val="0"/>
                  <w:marRight w:val="0"/>
                  <w:marTop w:val="0"/>
                  <w:marBottom w:val="0"/>
                  <w:divBdr>
                    <w:top w:val="none" w:sz="0" w:space="0" w:color="3D3D3D"/>
                    <w:left w:val="none" w:sz="0" w:space="0" w:color="3D3D3D"/>
                    <w:bottom w:val="none" w:sz="0" w:space="0" w:color="3D3D3D"/>
                    <w:right w:val="none" w:sz="0" w:space="0" w:color="3D3D3D"/>
                  </w:divBdr>
                  <w:divsChild>
                    <w:div w:id="1935629169">
                      <w:blockQuote w:val="1"/>
                      <w:marLeft w:val="0"/>
                      <w:marRight w:val="0"/>
                      <w:marTop w:val="0"/>
                      <w:marBottom w:val="0"/>
                      <w:divBdr>
                        <w:top w:val="none" w:sz="0" w:space="11" w:color="3D3D3D"/>
                        <w:left w:val="none" w:sz="0" w:space="28" w:color="3D3D3D"/>
                        <w:bottom w:val="none" w:sz="0" w:space="11" w:color="3D3D3D"/>
                        <w:right w:val="none" w:sz="0" w:space="28" w:color="3D3D3D"/>
                      </w:divBdr>
                      <w:divsChild>
                        <w:div w:id="727532658">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sChild>
            </w:div>
          </w:divsChild>
        </w:div>
      </w:divsChild>
    </w:div>
    <w:div w:id="1123691735">
      <w:bodyDiv w:val="1"/>
      <w:marLeft w:val="0"/>
      <w:marRight w:val="0"/>
      <w:marTop w:val="0"/>
      <w:marBottom w:val="0"/>
      <w:divBdr>
        <w:top w:val="none" w:sz="0" w:space="0" w:color="auto"/>
        <w:left w:val="none" w:sz="0" w:space="0" w:color="auto"/>
        <w:bottom w:val="none" w:sz="0" w:space="0" w:color="auto"/>
        <w:right w:val="none" w:sz="0" w:space="0" w:color="auto"/>
      </w:divBdr>
    </w:div>
    <w:div w:id="1279408791">
      <w:bodyDiv w:val="1"/>
      <w:marLeft w:val="0"/>
      <w:marRight w:val="0"/>
      <w:marTop w:val="0"/>
      <w:marBottom w:val="0"/>
      <w:divBdr>
        <w:top w:val="none" w:sz="0" w:space="0" w:color="auto"/>
        <w:left w:val="none" w:sz="0" w:space="0" w:color="auto"/>
        <w:bottom w:val="none" w:sz="0" w:space="0" w:color="auto"/>
        <w:right w:val="none" w:sz="0" w:space="0" w:color="auto"/>
      </w:divBdr>
    </w:div>
    <w:div w:id="1496724298">
      <w:bodyDiv w:val="1"/>
      <w:marLeft w:val="0"/>
      <w:marRight w:val="0"/>
      <w:marTop w:val="0"/>
      <w:marBottom w:val="0"/>
      <w:divBdr>
        <w:top w:val="none" w:sz="0" w:space="0" w:color="auto"/>
        <w:left w:val="none" w:sz="0" w:space="0" w:color="auto"/>
        <w:bottom w:val="none" w:sz="0" w:space="0" w:color="auto"/>
        <w:right w:val="none" w:sz="0" w:space="0" w:color="auto"/>
      </w:divBdr>
      <w:divsChild>
        <w:div w:id="2139688299">
          <w:marLeft w:val="0"/>
          <w:marRight w:val="0"/>
          <w:marTop w:val="0"/>
          <w:marBottom w:val="0"/>
          <w:divBdr>
            <w:top w:val="none" w:sz="0" w:space="0" w:color="3D3D3D"/>
            <w:left w:val="none" w:sz="0" w:space="0" w:color="3D3D3D"/>
            <w:bottom w:val="none" w:sz="0" w:space="0" w:color="3D3D3D"/>
            <w:right w:val="none" w:sz="0" w:space="0" w:color="3D3D3D"/>
          </w:divBdr>
          <w:divsChild>
            <w:div w:id="1882671996">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873609627">
      <w:bodyDiv w:val="1"/>
      <w:marLeft w:val="0"/>
      <w:marRight w:val="0"/>
      <w:marTop w:val="0"/>
      <w:marBottom w:val="0"/>
      <w:divBdr>
        <w:top w:val="none" w:sz="0" w:space="0" w:color="auto"/>
        <w:left w:val="none" w:sz="0" w:space="0" w:color="auto"/>
        <w:bottom w:val="none" w:sz="0" w:space="0" w:color="auto"/>
        <w:right w:val="none" w:sz="0" w:space="0" w:color="auto"/>
      </w:divBdr>
      <w:divsChild>
        <w:div w:id="298148040">
          <w:marLeft w:val="0"/>
          <w:marRight w:val="0"/>
          <w:marTop w:val="0"/>
          <w:marBottom w:val="0"/>
          <w:divBdr>
            <w:top w:val="none" w:sz="0" w:space="0" w:color="3D3D3D"/>
            <w:left w:val="none" w:sz="0" w:space="0" w:color="3D3D3D"/>
            <w:bottom w:val="none" w:sz="0" w:space="0" w:color="3D3D3D"/>
            <w:right w:val="none" w:sz="0" w:space="0" w:color="3D3D3D"/>
          </w:divBdr>
          <w:divsChild>
            <w:div w:id="1782918621">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879319313">
      <w:bodyDiv w:val="1"/>
      <w:marLeft w:val="0"/>
      <w:marRight w:val="0"/>
      <w:marTop w:val="0"/>
      <w:marBottom w:val="0"/>
      <w:divBdr>
        <w:top w:val="none" w:sz="0" w:space="0" w:color="auto"/>
        <w:left w:val="none" w:sz="0" w:space="0" w:color="auto"/>
        <w:bottom w:val="none" w:sz="0" w:space="0" w:color="auto"/>
        <w:right w:val="none" w:sz="0" w:space="0" w:color="auto"/>
      </w:divBdr>
      <w:divsChild>
        <w:div w:id="1497647392">
          <w:marLeft w:val="0"/>
          <w:marRight w:val="0"/>
          <w:marTop w:val="0"/>
          <w:marBottom w:val="0"/>
          <w:divBdr>
            <w:top w:val="none" w:sz="0" w:space="0" w:color="3D3D3D"/>
            <w:left w:val="none" w:sz="0" w:space="0" w:color="3D3D3D"/>
            <w:bottom w:val="none" w:sz="0" w:space="0" w:color="3D3D3D"/>
            <w:right w:val="none" w:sz="0" w:space="0" w:color="3D3D3D"/>
          </w:divBdr>
          <w:divsChild>
            <w:div w:id="2035225654">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890072343">
      <w:bodyDiv w:val="1"/>
      <w:marLeft w:val="0"/>
      <w:marRight w:val="0"/>
      <w:marTop w:val="0"/>
      <w:marBottom w:val="0"/>
      <w:divBdr>
        <w:top w:val="none" w:sz="0" w:space="0" w:color="auto"/>
        <w:left w:val="none" w:sz="0" w:space="0" w:color="auto"/>
        <w:bottom w:val="none" w:sz="0" w:space="0" w:color="auto"/>
        <w:right w:val="none" w:sz="0" w:space="0" w:color="auto"/>
      </w:divBdr>
    </w:div>
    <w:div w:id="1950042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ycourts.gov/judges/cji/2-PenalLaw/125/125-25%283%29.pdf" TargetMode="External"/><Relationship Id="rId13" Type="http://schemas.openxmlformats.org/officeDocument/2006/relationships/hyperlink" Target="https://pmc.ncbi.nlm.nih.gov/articles/PMC4671080/pdf/nihms726555.pdf" TargetMode="External"/><Relationship Id="rId18" Type="http://schemas.openxmlformats.org/officeDocument/2006/relationships/hyperlink" Target="https://www.dovepress.com/article/download/12651"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www.nycourts.gov/judges/cji/2-PenalLaw/125/125-25%283%29.pdf" TargetMode="External"/><Relationship Id="rId7" Type="http://schemas.openxmlformats.org/officeDocument/2006/relationships/endnotes" Target="endnotes.xml"/><Relationship Id="rId12" Type="http://schemas.openxmlformats.org/officeDocument/2006/relationships/hyperlink" Target="https://cms2.revize.com/revize/indigentlegalservices/4.%20Standards/C.%20Eligibility/ILS%20Eligibility%20Standards/Eligibility%20Standards%20Final.pdf" TargetMode="External"/><Relationship Id="rId17" Type="http://schemas.openxmlformats.org/officeDocument/2006/relationships/hyperlink" Target="https://www.ncbi.nlm.nih.gov/books/NBK537102/" TargetMode="External"/><Relationship Id="rId25" Type="http://schemas.openxmlformats.org/officeDocument/2006/relationships/hyperlink" Target="https://www.nycourts.gov/judges/cji/2-PenalLaw/125/125-25%283%29.pdf" TargetMode="External"/><Relationship Id="rId2" Type="http://schemas.openxmlformats.org/officeDocument/2006/relationships/numbering" Target="numbering.xml"/><Relationship Id="rId16" Type="http://schemas.openxmlformats.org/officeDocument/2006/relationships/hyperlink" Target="https://www.aacap.org/AACAP/Families_and_Youth/Facts_for_Families/FFF-Guide/The-Teen-Brain-Behavior-Problem-Solving-and-Decision-Making-095.aspx" TargetMode="External"/><Relationship Id="rId20" Type="http://schemas.openxmlformats.org/officeDocument/2006/relationships/hyperlink" Target="https://www.woodtv.com/wp-content/uploads/sites/51/2025/09/Adolescent-Neurodevelopment-re-JLWOP_-Dr.-Keating.pdf"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ysenate.gov/legislation/laws/CNT/722-C" TargetMode="External"/><Relationship Id="rId24" Type="http://schemas.openxmlformats.org/officeDocument/2006/relationships/hyperlink" Target="https://www.dovepress.com/article/download/12651" TargetMode="External"/><Relationship Id="rId5" Type="http://schemas.openxmlformats.org/officeDocument/2006/relationships/webSettings" Target="webSettings.xml"/><Relationship Id="rId15" Type="http://schemas.openxmlformats.org/officeDocument/2006/relationships/hyperlink" Target="https://www.dovepress.com/article/download/12651" TargetMode="External"/><Relationship Id="rId23" Type="http://schemas.openxmlformats.org/officeDocument/2006/relationships/hyperlink" Target="https://www.nycourts.gov/judges/cji/2-PenalLaw/125/125-25%283%29.pdf" TargetMode="External"/><Relationship Id="rId28" Type="http://schemas.openxmlformats.org/officeDocument/2006/relationships/fontTable" Target="fontTable.xml"/><Relationship Id="rId10" Type="http://schemas.openxmlformats.org/officeDocument/2006/relationships/hyperlink" Target="https://www.nysenate.gov/legislation/laws/CNT/722-C" TargetMode="External"/><Relationship Id="rId19" Type="http://schemas.openxmlformats.org/officeDocument/2006/relationships/hyperlink" Target="https://pubmed.ncbi.nlm.nih.gov/24993606/" TargetMode="External"/><Relationship Id="rId4" Type="http://schemas.openxmlformats.org/officeDocument/2006/relationships/settings" Target="settings.xml"/><Relationship Id="rId9" Type="http://schemas.openxmlformats.org/officeDocument/2006/relationships/hyperlink" Target="https://www.woodtv.com/wp-content/uploads/sites/51/2025/09/Adolescent-Neurodevelopment-re-JLWOP_-Dr.-Keating.pdf" TargetMode="External"/><Relationship Id="rId14" Type="http://schemas.openxmlformats.org/officeDocument/2006/relationships/hyperlink" Target="https://www.universityofcalifornia.edu/news/evolutionary-advantage-teenage-brain" TargetMode="External"/><Relationship Id="rId22" Type="http://schemas.openxmlformats.org/officeDocument/2006/relationships/hyperlink" Target="https://www-nature-com.proxy.lib.umich.edu/articles/nrn3509.pdf" TargetMode="External"/><Relationship Id="rId27"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law.cornell.edu/uscode/text/18/3006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4A1978-0949-284F-BE83-51662D6F3B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Pages>
  <Words>3349</Words>
  <Characters>19094</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Nell Haney</dc:creator>
  <cp:keywords/>
  <dc:description/>
  <cp:lastModifiedBy>Nelson, Sofia</cp:lastModifiedBy>
  <cp:revision>2</cp:revision>
  <dcterms:created xsi:type="dcterms:W3CDTF">2026-05-04T14:52:00Z</dcterms:created>
  <dcterms:modified xsi:type="dcterms:W3CDTF">2026-05-04T14:52:00Z</dcterms:modified>
</cp:coreProperties>
</file>