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49017" w14:textId="03BA2787" w:rsidR="003865C8" w:rsidRDefault="003865C8" w:rsidP="003865C8">
      <w:pPr>
        <w:spacing w:after="0" w:line="480" w:lineRule="auto"/>
        <w:jc w:val="center"/>
        <w:rPr>
          <w:rFonts w:ascii="Times New Roman" w:hAnsi="Times New Roman" w:cs="Times New Roman"/>
          <w:sz w:val="24"/>
          <w:szCs w:val="24"/>
        </w:rPr>
      </w:pPr>
      <w:r>
        <w:rPr>
          <w:rFonts w:ascii="Times New Roman" w:hAnsi="Times New Roman" w:cs="Times New Roman"/>
          <w:b/>
          <w:bCs/>
          <w:sz w:val="24"/>
          <w:szCs w:val="24"/>
          <w:u w:val="single"/>
        </w:rPr>
        <w:t>MOTION TO EXCLUDE FIREARMS AND TOOLMARK EVIDENCE</w:t>
      </w:r>
    </w:p>
    <w:p w14:paraId="4F19AC95" w14:textId="08FC2A6A" w:rsidR="003865C8" w:rsidRDefault="003865C8" w:rsidP="006C22A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046535">
        <w:rPr>
          <w:rFonts w:ascii="Times New Roman" w:hAnsi="Times New Roman" w:cs="Times New Roman"/>
          <w:sz w:val="24"/>
          <w:szCs w:val="24"/>
        </w:rPr>
        <w:t>[</w:t>
      </w:r>
      <w:r w:rsidR="00046535" w:rsidRPr="00046535">
        <w:rPr>
          <w:rFonts w:ascii="Times New Roman" w:hAnsi="Times New Roman" w:cs="Times New Roman"/>
          <w:sz w:val="24"/>
          <w:szCs w:val="24"/>
          <w:highlight w:val="yellow"/>
        </w:rPr>
        <w:t>Client Name</w:t>
      </w:r>
      <w:r w:rsidR="00046535">
        <w:rPr>
          <w:rFonts w:ascii="Times New Roman" w:hAnsi="Times New Roman" w:cs="Times New Roman"/>
          <w:sz w:val="24"/>
          <w:szCs w:val="24"/>
        </w:rPr>
        <w:t>]</w:t>
      </w:r>
      <w:r>
        <w:rPr>
          <w:rFonts w:ascii="Times New Roman" w:hAnsi="Times New Roman" w:cs="Times New Roman"/>
          <w:sz w:val="24"/>
          <w:szCs w:val="24"/>
        </w:rPr>
        <w:t xml:space="preserve">, by and through </w:t>
      </w:r>
      <w:r w:rsidR="00046535">
        <w:rPr>
          <w:rFonts w:ascii="Times New Roman" w:hAnsi="Times New Roman" w:cs="Times New Roman"/>
          <w:sz w:val="24"/>
          <w:szCs w:val="24"/>
        </w:rPr>
        <w:t>[</w:t>
      </w:r>
      <w:r w:rsidRPr="00046535">
        <w:rPr>
          <w:rFonts w:ascii="Times New Roman" w:hAnsi="Times New Roman" w:cs="Times New Roman"/>
          <w:sz w:val="24"/>
          <w:szCs w:val="24"/>
          <w:highlight w:val="yellow"/>
        </w:rPr>
        <w:t>his</w:t>
      </w:r>
      <w:r w:rsidR="00046535" w:rsidRPr="00046535">
        <w:rPr>
          <w:rFonts w:ascii="Times New Roman" w:hAnsi="Times New Roman" w:cs="Times New Roman"/>
          <w:sz w:val="24"/>
          <w:szCs w:val="24"/>
          <w:highlight w:val="yellow"/>
        </w:rPr>
        <w:t>/her/their</w:t>
      </w:r>
      <w:r w:rsidR="00046535">
        <w:rPr>
          <w:rFonts w:ascii="Times New Roman" w:hAnsi="Times New Roman" w:cs="Times New Roman"/>
          <w:sz w:val="24"/>
          <w:szCs w:val="24"/>
        </w:rPr>
        <w:t>]</w:t>
      </w:r>
      <w:r>
        <w:rPr>
          <w:rFonts w:ascii="Times New Roman" w:hAnsi="Times New Roman" w:cs="Times New Roman"/>
          <w:sz w:val="24"/>
          <w:szCs w:val="24"/>
        </w:rPr>
        <w:t xml:space="preserve"> attorney and pursuant to Michigan Rules of Evidence 702, 703, 403, the principles outlined in </w:t>
      </w:r>
      <w:r>
        <w:rPr>
          <w:rFonts w:ascii="Times New Roman" w:hAnsi="Times New Roman" w:cs="Times New Roman"/>
          <w:i/>
          <w:iCs/>
          <w:sz w:val="24"/>
          <w:szCs w:val="24"/>
        </w:rPr>
        <w:t>Daubert v Merrell-Dow Pharms Inc</w:t>
      </w:r>
      <w:r>
        <w:rPr>
          <w:rFonts w:ascii="Times New Roman" w:hAnsi="Times New Roman" w:cs="Times New Roman"/>
          <w:sz w:val="24"/>
          <w:szCs w:val="24"/>
        </w:rPr>
        <w:t xml:space="preserve">, 509 US 579 (1993), and all other applicable rules and authority, hereby moves the </w:t>
      </w:r>
      <w:r w:rsidR="00FF291F">
        <w:rPr>
          <w:rFonts w:ascii="Times New Roman" w:hAnsi="Times New Roman" w:cs="Times New Roman"/>
          <w:sz w:val="24"/>
          <w:szCs w:val="24"/>
        </w:rPr>
        <w:t>c</w:t>
      </w:r>
      <w:r>
        <w:rPr>
          <w:rFonts w:ascii="Times New Roman" w:hAnsi="Times New Roman" w:cs="Times New Roman"/>
          <w:sz w:val="24"/>
          <w:szCs w:val="24"/>
        </w:rPr>
        <w:t xml:space="preserve">ourt to exclude any evidence related to firearms and toolmarks analysis, for the reasons set forth in his Motion and this Brief. </w:t>
      </w:r>
    </w:p>
    <w:p w14:paraId="6FB93432" w14:textId="79723C89" w:rsidR="003865C8" w:rsidRDefault="003865C8" w:rsidP="00C951F7">
      <w:pPr>
        <w:spacing w:after="0" w:line="480" w:lineRule="auto"/>
        <w:jc w:val="center"/>
        <w:rPr>
          <w:rFonts w:ascii="Times New Roman" w:hAnsi="Times New Roman" w:cs="Times New Roman"/>
          <w:sz w:val="24"/>
          <w:szCs w:val="24"/>
        </w:rPr>
      </w:pPr>
      <w:r>
        <w:rPr>
          <w:rFonts w:ascii="Times New Roman" w:hAnsi="Times New Roman" w:cs="Times New Roman"/>
          <w:b/>
          <w:bCs/>
          <w:sz w:val="24"/>
          <w:szCs w:val="24"/>
        </w:rPr>
        <w:t>FACTS</w:t>
      </w:r>
    </w:p>
    <w:p w14:paraId="5422B1BC" w14:textId="14E5378D" w:rsidR="00C21C6B" w:rsidRDefault="00046535" w:rsidP="006C22A6">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r w:rsidRPr="00046535">
        <w:rPr>
          <w:rFonts w:ascii="Times New Roman" w:hAnsi="Times New Roman" w:cs="Times New Roman"/>
          <w:sz w:val="24"/>
          <w:szCs w:val="24"/>
          <w:highlight w:val="yellow"/>
        </w:rPr>
        <w:t>Client Name</w:t>
      </w:r>
      <w:r>
        <w:rPr>
          <w:rFonts w:ascii="Times New Roman" w:hAnsi="Times New Roman" w:cs="Times New Roman"/>
          <w:sz w:val="24"/>
          <w:szCs w:val="24"/>
        </w:rPr>
        <w:t>]</w:t>
      </w:r>
      <w:r w:rsidR="00C21C6B">
        <w:rPr>
          <w:rFonts w:ascii="Times New Roman" w:hAnsi="Times New Roman" w:cs="Times New Roman"/>
          <w:sz w:val="24"/>
          <w:szCs w:val="24"/>
        </w:rPr>
        <w:t xml:space="preserve"> is charged with </w:t>
      </w:r>
      <w:r>
        <w:rPr>
          <w:rFonts w:ascii="Times New Roman" w:hAnsi="Times New Roman" w:cs="Times New Roman"/>
          <w:sz w:val="24"/>
          <w:szCs w:val="24"/>
        </w:rPr>
        <w:t>[</w:t>
      </w:r>
      <w:r w:rsidRPr="00046535">
        <w:rPr>
          <w:rFonts w:ascii="Times New Roman" w:hAnsi="Times New Roman" w:cs="Times New Roman"/>
          <w:sz w:val="24"/>
          <w:szCs w:val="24"/>
          <w:highlight w:val="yellow"/>
        </w:rPr>
        <w:t>list charges</w:t>
      </w:r>
      <w:r>
        <w:rPr>
          <w:rFonts w:ascii="Times New Roman" w:hAnsi="Times New Roman" w:cs="Times New Roman"/>
          <w:sz w:val="24"/>
          <w:szCs w:val="24"/>
        </w:rPr>
        <w:t>]</w:t>
      </w:r>
      <w:r w:rsidR="004111A7">
        <w:rPr>
          <w:rFonts w:ascii="Times New Roman" w:hAnsi="Times New Roman" w:cs="Times New Roman"/>
          <w:sz w:val="24"/>
          <w:szCs w:val="24"/>
        </w:rPr>
        <w:t>. The key evidence the government intends to admit at trial is expert testimony about spent shell casings and a gun</w:t>
      </w:r>
      <w:r w:rsidR="00C21C6B">
        <w:rPr>
          <w:rFonts w:ascii="Times New Roman" w:hAnsi="Times New Roman" w:cs="Times New Roman"/>
          <w:sz w:val="24"/>
          <w:szCs w:val="24"/>
        </w:rPr>
        <w:t xml:space="preserve">. </w:t>
      </w:r>
    </w:p>
    <w:p w14:paraId="5AF92605" w14:textId="45927EF0" w:rsidR="004111A7" w:rsidRPr="005C0E68" w:rsidRDefault="00046535" w:rsidP="004111A7">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r w:rsidRPr="00046535">
        <w:rPr>
          <w:rFonts w:ascii="Times New Roman" w:hAnsi="Times New Roman" w:cs="Times New Roman"/>
          <w:sz w:val="24"/>
          <w:szCs w:val="24"/>
          <w:highlight w:val="yellow"/>
        </w:rPr>
        <w:t>Provide brief overview of allegations underlying charges, emphasizing lack of direct evidenc</w:t>
      </w:r>
      <w:r>
        <w:rPr>
          <w:rFonts w:ascii="Times New Roman" w:hAnsi="Times New Roman" w:cs="Times New Roman"/>
          <w:sz w:val="24"/>
          <w:szCs w:val="24"/>
          <w:highlight w:val="yellow"/>
        </w:rPr>
        <w:t>e implicating client</w:t>
      </w:r>
      <w:r>
        <w:rPr>
          <w:rFonts w:ascii="Times New Roman" w:hAnsi="Times New Roman" w:cs="Times New Roman"/>
          <w:sz w:val="24"/>
          <w:szCs w:val="24"/>
        </w:rPr>
        <w:t>]</w:t>
      </w:r>
      <w:r w:rsidR="00FD5EE2">
        <w:rPr>
          <w:rFonts w:ascii="Times New Roman" w:hAnsi="Times New Roman" w:cs="Times New Roman"/>
          <w:sz w:val="24"/>
          <w:szCs w:val="24"/>
        </w:rPr>
        <w:t xml:space="preserve">. </w:t>
      </w:r>
    </w:p>
    <w:p w14:paraId="0A759783" w14:textId="0DBCFEB4" w:rsidR="00B35D6B" w:rsidRDefault="00046535" w:rsidP="006C22A6">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r w:rsidRPr="00046535">
        <w:rPr>
          <w:rFonts w:ascii="Times New Roman" w:hAnsi="Times New Roman" w:cs="Times New Roman"/>
          <w:sz w:val="24"/>
          <w:szCs w:val="24"/>
          <w:highlight w:val="yellow"/>
        </w:rPr>
        <w:t>Provide brief overview of any testing/evaluation of firearms and ammunition</w:t>
      </w:r>
      <w:r>
        <w:rPr>
          <w:rFonts w:ascii="Times New Roman" w:hAnsi="Times New Roman" w:cs="Times New Roman"/>
          <w:sz w:val="24"/>
          <w:szCs w:val="24"/>
        </w:rPr>
        <w:t>]</w:t>
      </w:r>
      <w:r w:rsidR="00B35D6B">
        <w:rPr>
          <w:rFonts w:ascii="Times New Roman" w:hAnsi="Times New Roman" w:cs="Times New Roman"/>
          <w:sz w:val="24"/>
          <w:szCs w:val="24"/>
        </w:rPr>
        <w:t xml:space="preserve">. </w:t>
      </w:r>
    </w:p>
    <w:p w14:paraId="5CE9CBBC" w14:textId="0EF7AA09" w:rsidR="00EA453F" w:rsidRDefault="00046535" w:rsidP="00EA453F">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r w:rsidRPr="00046535">
        <w:rPr>
          <w:rFonts w:ascii="Times New Roman" w:hAnsi="Times New Roman" w:cs="Times New Roman"/>
          <w:sz w:val="24"/>
          <w:szCs w:val="24"/>
          <w:highlight w:val="yellow"/>
        </w:rPr>
        <w:t>Summarize government’s proffered expert opinion testimony, emphasizing its centrality to the government’s case against client.]</w:t>
      </w:r>
      <w:r w:rsidR="00B35D6B">
        <w:rPr>
          <w:rFonts w:ascii="Times New Roman" w:hAnsi="Times New Roman" w:cs="Times New Roman"/>
          <w:sz w:val="24"/>
          <w:szCs w:val="24"/>
        </w:rPr>
        <w:t xml:space="preserve"> </w:t>
      </w:r>
    </w:p>
    <w:p w14:paraId="16BC39D1" w14:textId="7BDD745B" w:rsidR="00EA453F" w:rsidRDefault="00B35D6B" w:rsidP="00EA453F">
      <w:pPr>
        <w:pStyle w:val="ListParagraph"/>
        <w:numPr>
          <w:ilvl w:val="0"/>
          <w:numId w:val="3"/>
        </w:numPr>
        <w:spacing w:after="0" w:line="480" w:lineRule="auto"/>
        <w:jc w:val="both"/>
        <w:rPr>
          <w:rFonts w:ascii="Times New Roman" w:hAnsi="Times New Roman" w:cs="Times New Roman"/>
          <w:sz w:val="24"/>
          <w:szCs w:val="24"/>
        </w:rPr>
      </w:pPr>
      <w:r w:rsidRPr="00EA453F">
        <w:rPr>
          <w:rFonts w:ascii="Times New Roman" w:hAnsi="Times New Roman" w:cs="Times New Roman"/>
          <w:sz w:val="24"/>
          <w:szCs w:val="24"/>
        </w:rPr>
        <w:t xml:space="preserve">The field of firearm and toolmark identification has been under heavy scrutiny in recent years. Courts in other jurisdictions </w:t>
      </w:r>
      <w:r w:rsidR="007374A8" w:rsidRPr="00EA453F">
        <w:rPr>
          <w:rFonts w:ascii="Times New Roman" w:hAnsi="Times New Roman" w:cs="Times New Roman"/>
          <w:sz w:val="24"/>
          <w:szCs w:val="24"/>
        </w:rPr>
        <w:t>excluded</w:t>
      </w:r>
      <w:r w:rsidRPr="00EA453F">
        <w:rPr>
          <w:rFonts w:ascii="Times New Roman" w:hAnsi="Times New Roman" w:cs="Times New Roman"/>
          <w:sz w:val="24"/>
          <w:szCs w:val="24"/>
        </w:rPr>
        <w:t xml:space="preserve"> this type of testimony altogether or severely </w:t>
      </w:r>
      <w:r w:rsidR="00053C72" w:rsidRPr="00EA453F">
        <w:rPr>
          <w:rFonts w:ascii="Times New Roman" w:hAnsi="Times New Roman" w:cs="Times New Roman"/>
          <w:sz w:val="24"/>
          <w:szCs w:val="24"/>
        </w:rPr>
        <w:t>limit</w:t>
      </w:r>
      <w:r w:rsidR="007374A8" w:rsidRPr="00EA453F">
        <w:rPr>
          <w:rFonts w:ascii="Times New Roman" w:hAnsi="Times New Roman" w:cs="Times New Roman"/>
          <w:sz w:val="24"/>
          <w:szCs w:val="24"/>
        </w:rPr>
        <w:t>ed</w:t>
      </w:r>
      <w:r w:rsidRPr="00EA453F">
        <w:rPr>
          <w:rFonts w:ascii="Times New Roman" w:hAnsi="Times New Roman" w:cs="Times New Roman"/>
          <w:sz w:val="24"/>
          <w:szCs w:val="24"/>
        </w:rPr>
        <w:t xml:space="preserve"> the examiner’s testimony. </w:t>
      </w:r>
      <w:r w:rsidR="007374A8" w:rsidRPr="00EA453F">
        <w:rPr>
          <w:rFonts w:ascii="Times New Roman" w:hAnsi="Times New Roman" w:cs="Times New Roman"/>
          <w:sz w:val="24"/>
          <w:szCs w:val="24"/>
        </w:rPr>
        <w:t xml:space="preserve">Michigan Supreme Court Chief Justice Cavanagh </w:t>
      </w:r>
      <w:r w:rsidRPr="00EA453F">
        <w:rPr>
          <w:rFonts w:ascii="Times New Roman" w:hAnsi="Times New Roman" w:cs="Times New Roman"/>
          <w:sz w:val="24"/>
          <w:szCs w:val="24"/>
        </w:rPr>
        <w:t xml:space="preserve">also recently expressed </w:t>
      </w:r>
      <w:r w:rsidR="007374A8" w:rsidRPr="00EA453F">
        <w:rPr>
          <w:rFonts w:ascii="Times New Roman" w:hAnsi="Times New Roman" w:cs="Times New Roman"/>
          <w:sz w:val="24"/>
          <w:szCs w:val="24"/>
        </w:rPr>
        <w:t>concern that this sort of opinion testimony may not be sufficiently reliable to be admissible.</w:t>
      </w:r>
      <w:r w:rsidR="006C22A6" w:rsidRPr="00EA453F">
        <w:rPr>
          <w:rFonts w:ascii="Times New Roman" w:hAnsi="Times New Roman" w:cs="Times New Roman"/>
          <w:sz w:val="24"/>
          <w:szCs w:val="24"/>
        </w:rPr>
        <w:t xml:space="preserve"> </w:t>
      </w:r>
      <w:r w:rsidR="007374A8" w:rsidRPr="00EA453F">
        <w:rPr>
          <w:rFonts w:ascii="Times New Roman" w:hAnsi="Times New Roman" w:cs="Times New Roman"/>
          <w:sz w:val="24"/>
          <w:szCs w:val="24"/>
        </w:rPr>
        <w:t xml:space="preserve">See </w:t>
      </w:r>
      <w:r w:rsidR="006C22A6" w:rsidRPr="00EA453F">
        <w:rPr>
          <w:rFonts w:ascii="Times New Roman" w:hAnsi="Times New Roman" w:cs="Times New Roman"/>
          <w:i/>
          <w:iCs/>
          <w:sz w:val="24"/>
          <w:szCs w:val="24"/>
        </w:rPr>
        <w:t>People v Houston</w:t>
      </w:r>
      <w:r w:rsidR="006C22A6" w:rsidRPr="00EA453F">
        <w:rPr>
          <w:rFonts w:ascii="Times New Roman" w:hAnsi="Times New Roman" w:cs="Times New Roman"/>
          <w:sz w:val="24"/>
          <w:szCs w:val="24"/>
        </w:rPr>
        <w:t xml:space="preserve">, </w:t>
      </w:r>
      <w:r w:rsidR="007374A8" w:rsidRPr="00EA453F">
        <w:rPr>
          <w:rFonts w:ascii="Times New Roman" w:hAnsi="Times New Roman" w:cs="Times New Roman"/>
          <w:sz w:val="24"/>
          <w:szCs w:val="24"/>
        </w:rPr>
        <w:t xml:space="preserve">__ Mich __; </w:t>
      </w:r>
      <w:r w:rsidR="006C22A6" w:rsidRPr="00EA453F">
        <w:rPr>
          <w:rFonts w:ascii="Times New Roman" w:hAnsi="Times New Roman" w:cs="Times New Roman"/>
          <w:sz w:val="24"/>
          <w:szCs w:val="24"/>
        </w:rPr>
        <w:t>18 NW3d 526 (2025)</w:t>
      </w:r>
      <w:r w:rsidR="007374A8" w:rsidRPr="00EA453F">
        <w:rPr>
          <w:rFonts w:ascii="Times New Roman" w:hAnsi="Times New Roman" w:cs="Times New Roman"/>
          <w:sz w:val="24"/>
          <w:szCs w:val="24"/>
        </w:rPr>
        <w:t xml:space="preserve"> </w:t>
      </w:r>
      <w:r w:rsidR="00175229">
        <w:rPr>
          <w:rFonts w:ascii="Times New Roman" w:hAnsi="Times New Roman" w:cs="Times New Roman"/>
          <w:sz w:val="24"/>
          <w:szCs w:val="24"/>
        </w:rPr>
        <w:t xml:space="preserve">(Docket No. 167753) </w:t>
      </w:r>
      <w:r w:rsidR="007374A8" w:rsidRPr="00EA453F">
        <w:rPr>
          <w:rFonts w:ascii="Times New Roman" w:hAnsi="Times New Roman" w:cs="Times New Roman"/>
          <w:sz w:val="24"/>
          <w:szCs w:val="24"/>
        </w:rPr>
        <w:t>(</w:t>
      </w:r>
      <w:r w:rsidR="00FC02C2" w:rsidRPr="00EA453F">
        <w:rPr>
          <w:rFonts w:ascii="Times New Roman" w:hAnsi="Times New Roman" w:cs="Times New Roman"/>
          <w:sz w:val="24"/>
          <w:szCs w:val="24"/>
        </w:rPr>
        <w:t>CAVANAGH</w:t>
      </w:r>
      <w:r w:rsidR="007374A8" w:rsidRPr="00EA453F">
        <w:rPr>
          <w:rFonts w:ascii="Times New Roman" w:hAnsi="Times New Roman" w:cs="Times New Roman"/>
          <w:sz w:val="24"/>
          <w:szCs w:val="24"/>
        </w:rPr>
        <w:t>, C.J., concurring)</w:t>
      </w:r>
      <w:r w:rsidR="006C22A6" w:rsidRPr="00EA453F">
        <w:rPr>
          <w:rFonts w:ascii="Times New Roman" w:hAnsi="Times New Roman" w:cs="Times New Roman"/>
          <w:sz w:val="24"/>
          <w:szCs w:val="24"/>
        </w:rPr>
        <w:t>.</w:t>
      </w:r>
      <w:r w:rsidR="00175229">
        <w:rPr>
          <w:rFonts w:ascii="Times New Roman" w:hAnsi="Times New Roman" w:cs="Times New Roman"/>
          <w:sz w:val="24"/>
          <w:szCs w:val="24"/>
        </w:rPr>
        <w:t xml:space="preserve"> Further, the Michigan Supreme Court recently remanded a case to the trial court and ordered it to hold a </w:t>
      </w:r>
      <w:r w:rsidR="00175229">
        <w:rPr>
          <w:rFonts w:ascii="Times New Roman" w:hAnsi="Times New Roman" w:cs="Times New Roman"/>
          <w:i/>
          <w:iCs/>
          <w:sz w:val="24"/>
          <w:szCs w:val="24"/>
        </w:rPr>
        <w:t xml:space="preserve">Daubert </w:t>
      </w:r>
      <w:r w:rsidR="00175229">
        <w:rPr>
          <w:rFonts w:ascii="Times New Roman" w:hAnsi="Times New Roman" w:cs="Times New Roman"/>
          <w:sz w:val="24"/>
          <w:szCs w:val="24"/>
        </w:rPr>
        <w:t xml:space="preserve">hearing on proffered expert testimony about ballistics and toolmark identification. See </w:t>
      </w:r>
      <w:r w:rsidR="00175229">
        <w:rPr>
          <w:rFonts w:ascii="Times New Roman" w:hAnsi="Times New Roman" w:cs="Times New Roman"/>
          <w:i/>
          <w:iCs/>
          <w:sz w:val="24"/>
          <w:szCs w:val="24"/>
        </w:rPr>
        <w:t>People v Searcy,</w:t>
      </w:r>
      <w:r w:rsidR="00175229">
        <w:rPr>
          <w:rFonts w:ascii="Times New Roman" w:hAnsi="Times New Roman" w:cs="Times New Roman"/>
          <w:sz w:val="24"/>
          <w:szCs w:val="24"/>
        </w:rPr>
        <w:t xml:space="preserve"> __ Mich __; 26 NW3d 828 (2025) (Docket No. 168853).</w:t>
      </w:r>
    </w:p>
    <w:p w14:paraId="54FB888C" w14:textId="1039DC11" w:rsidR="00A5478C" w:rsidRPr="00EA453F" w:rsidRDefault="00A5478C" w:rsidP="00EA453F">
      <w:pPr>
        <w:spacing w:after="0" w:line="480" w:lineRule="auto"/>
        <w:ind w:left="360"/>
        <w:jc w:val="center"/>
        <w:rPr>
          <w:rFonts w:ascii="Times New Roman" w:hAnsi="Times New Roman" w:cs="Times New Roman"/>
          <w:sz w:val="24"/>
          <w:szCs w:val="24"/>
        </w:rPr>
      </w:pPr>
      <w:r w:rsidRPr="00EA453F">
        <w:rPr>
          <w:rFonts w:ascii="Times New Roman" w:hAnsi="Times New Roman" w:cs="Times New Roman"/>
          <w:b/>
          <w:bCs/>
          <w:sz w:val="24"/>
          <w:szCs w:val="24"/>
        </w:rPr>
        <w:lastRenderedPageBreak/>
        <w:t>ARGUMENT</w:t>
      </w:r>
    </w:p>
    <w:p w14:paraId="273EDA61" w14:textId="6F976DED" w:rsidR="00A5478C" w:rsidRDefault="00A5478C" w:rsidP="00A5478C">
      <w:pPr>
        <w:pStyle w:val="ListParagraph"/>
        <w:numPr>
          <w:ilvl w:val="0"/>
          <w:numId w:val="6"/>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THE FIREARMS AND TOOLMARKS EVIDENCE SHOULD BE EXCLUDED BECAUSE IT IS INACCURATE AND UNRELIABLE</w:t>
      </w:r>
    </w:p>
    <w:p w14:paraId="40A17B69" w14:textId="77777777" w:rsidR="00A5478C" w:rsidRPr="00A5478C" w:rsidRDefault="00A5478C" w:rsidP="00A5478C">
      <w:pPr>
        <w:pStyle w:val="ListParagraph"/>
        <w:spacing w:after="0" w:line="240" w:lineRule="auto"/>
        <w:ind w:left="1080"/>
        <w:rPr>
          <w:rFonts w:ascii="Times New Roman" w:hAnsi="Times New Roman" w:cs="Times New Roman"/>
          <w:b/>
          <w:bCs/>
          <w:sz w:val="24"/>
          <w:szCs w:val="24"/>
        </w:rPr>
      </w:pPr>
    </w:p>
    <w:p w14:paraId="68948869" w14:textId="06CB42AE" w:rsidR="00A5478C" w:rsidRPr="00D10655" w:rsidRDefault="00A5478C" w:rsidP="005C0E68">
      <w:pPr>
        <w:pStyle w:val="ListParagraph"/>
        <w:numPr>
          <w:ilvl w:val="0"/>
          <w:numId w:val="7"/>
        </w:numPr>
        <w:spacing w:line="240" w:lineRule="auto"/>
        <w:rPr>
          <w:rFonts w:ascii="Times New Roman" w:hAnsi="Times New Roman" w:cs="Times New Roman"/>
          <w:b/>
          <w:bCs/>
          <w:sz w:val="24"/>
          <w:szCs w:val="24"/>
        </w:rPr>
      </w:pPr>
      <w:r w:rsidRPr="00D10655">
        <w:rPr>
          <w:rFonts w:ascii="Times New Roman" w:hAnsi="Times New Roman" w:cs="Times New Roman"/>
          <w:b/>
          <w:bCs/>
          <w:sz w:val="24"/>
          <w:szCs w:val="24"/>
        </w:rPr>
        <w:t>SCIENTIFIC EVIDENCE</w:t>
      </w:r>
      <w:r w:rsidR="00FC02C2">
        <w:rPr>
          <w:rFonts w:ascii="Times New Roman" w:hAnsi="Times New Roman" w:cs="Times New Roman"/>
          <w:b/>
          <w:bCs/>
          <w:sz w:val="24"/>
          <w:szCs w:val="24"/>
        </w:rPr>
        <w:t xml:space="preserve"> IS ONLY ADMISSIBLE IF IT SATISFIES </w:t>
      </w:r>
      <w:r w:rsidR="00FC02C2">
        <w:rPr>
          <w:rFonts w:ascii="Times New Roman" w:hAnsi="Times New Roman" w:cs="Times New Roman"/>
          <w:b/>
          <w:bCs/>
          <w:i/>
          <w:iCs/>
          <w:sz w:val="24"/>
          <w:szCs w:val="24"/>
        </w:rPr>
        <w:t xml:space="preserve">DAUBERT </w:t>
      </w:r>
      <w:r w:rsidR="00FC02C2">
        <w:rPr>
          <w:rFonts w:ascii="Times New Roman" w:hAnsi="Times New Roman" w:cs="Times New Roman"/>
          <w:b/>
          <w:bCs/>
          <w:sz w:val="24"/>
          <w:szCs w:val="24"/>
        </w:rPr>
        <w:t>AND MRE 702</w:t>
      </w:r>
    </w:p>
    <w:p w14:paraId="12FFD9E3" w14:textId="62D5F42C" w:rsidR="002062F7" w:rsidRPr="00D10655" w:rsidRDefault="00A5478C" w:rsidP="006C22A6">
      <w:pPr>
        <w:spacing w:after="0" w:line="480" w:lineRule="auto"/>
        <w:ind w:firstLine="720"/>
        <w:jc w:val="both"/>
        <w:rPr>
          <w:rFonts w:ascii="Times New Roman" w:hAnsi="Times New Roman" w:cs="Times New Roman"/>
          <w:sz w:val="24"/>
          <w:szCs w:val="24"/>
        </w:rPr>
      </w:pPr>
      <w:r w:rsidRPr="00D10655">
        <w:rPr>
          <w:rFonts w:ascii="Times New Roman" w:hAnsi="Times New Roman" w:cs="Times New Roman"/>
          <w:sz w:val="24"/>
          <w:szCs w:val="24"/>
        </w:rPr>
        <w:t>The test for admissibility of expert testimony is set forth in Rule 702 of the Michigan Rules of Evidence</w:t>
      </w:r>
      <w:r w:rsidRPr="00D10655">
        <w:rPr>
          <w:rFonts w:ascii="Times New Roman" w:hAnsi="Times New Roman" w:cs="Times New Roman"/>
          <w:spacing w:val="-3"/>
          <w:sz w:val="24"/>
          <w:szCs w:val="24"/>
        </w:rPr>
        <w:t xml:space="preserve"> </w:t>
      </w:r>
      <w:r w:rsidRPr="00D10655">
        <w:rPr>
          <w:rFonts w:ascii="Times New Roman" w:hAnsi="Times New Roman" w:cs="Times New Roman"/>
          <w:sz w:val="24"/>
          <w:szCs w:val="24"/>
        </w:rPr>
        <w:t>(“MRE</w:t>
      </w:r>
      <w:r w:rsidRPr="00D10655">
        <w:rPr>
          <w:rFonts w:ascii="Times New Roman" w:hAnsi="Times New Roman" w:cs="Times New Roman"/>
          <w:spacing w:val="-5"/>
          <w:sz w:val="24"/>
          <w:szCs w:val="24"/>
        </w:rPr>
        <w:t xml:space="preserve"> </w:t>
      </w:r>
      <w:r w:rsidRPr="00D10655">
        <w:rPr>
          <w:rFonts w:ascii="Times New Roman" w:hAnsi="Times New Roman" w:cs="Times New Roman"/>
          <w:sz w:val="24"/>
          <w:szCs w:val="24"/>
        </w:rPr>
        <w:t>702”)</w:t>
      </w:r>
      <w:r w:rsidR="00FC02C2">
        <w:rPr>
          <w:rFonts w:ascii="Times New Roman" w:hAnsi="Times New Roman" w:cs="Times New Roman"/>
          <w:sz w:val="24"/>
          <w:szCs w:val="24"/>
        </w:rPr>
        <w:t xml:space="preserve">, which </w:t>
      </w:r>
      <w:r w:rsidRPr="00D10655">
        <w:rPr>
          <w:rFonts w:ascii="Times New Roman" w:hAnsi="Times New Roman" w:cs="Times New Roman"/>
          <w:sz w:val="24"/>
          <w:szCs w:val="24"/>
        </w:rPr>
        <w:t>incorporates the reliability standards identified by the United States Supreme Court in</w:t>
      </w:r>
      <w:r w:rsidRPr="00D10655">
        <w:rPr>
          <w:rFonts w:ascii="Times New Roman" w:hAnsi="Times New Roman" w:cs="Times New Roman"/>
          <w:spacing w:val="-1"/>
          <w:sz w:val="24"/>
          <w:szCs w:val="24"/>
        </w:rPr>
        <w:t xml:space="preserve"> </w:t>
      </w:r>
      <w:r w:rsidRPr="00D10655">
        <w:rPr>
          <w:rFonts w:ascii="Times New Roman" w:hAnsi="Times New Roman" w:cs="Times New Roman"/>
          <w:i/>
          <w:sz w:val="24"/>
          <w:szCs w:val="24"/>
        </w:rPr>
        <w:t>Daubert</w:t>
      </w:r>
      <w:r w:rsidRPr="00D10655">
        <w:rPr>
          <w:rFonts w:ascii="Times New Roman" w:hAnsi="Times New Roman" w:cs="Times New Roman"/>
          <w:i/>
          <w:spacing w:val="-1"/>
          <w:sz w:val="24"/>
          <w:szCs w:val="24"/>
        </w:rPr>
        <w:t xml:space="preserve"> </w:t>
      </w:r>
      <w:r w:rsidRPr="00D10655">
        <w:rPr>
          <w:rFonts w:ascii="Times New Roman" w:hAnsi="Times New Roman" w:cs="Times New Roman"/>
          <w:i/>
          <w:sz w:val="24"/>
          <w:szCs w:val="24"/>
        </w:rPr>
        <w:t>v</w:t>
      </w:r>
      <w:r w:rsidRPr="00D10655">
        <w:rPr>
          <w:rFonts w:ascii="Times New Roman" w:hAnsi="Times New Roman" w:cs="Times New Roman"/>
          <w:i/>
          <w:spacing w:val="-1"/>
          <w:sz w:val="24"/>
          <w:szCs w:val="24"/>
        </w:rPr>
        <w:t xml:space="preserve"> </w:t>
      </w:r>
      <w:r w:rsidRPr="00D10655">
        <w:rPr>
          <w:rFonts w:ascii="Times New Roman" w:hAnsi="Times New Roman" w:cs="Times New Roman"/>
          <w:i/>
          <w:sz w:val="24"/>
          <w:szCs w:val="24"/>
        </w:rPr>
        <w:t>Merrell</w:t>
      </w:r>
      <w:r w:rsidRPr="00D10655">
        <w:rPr>
          <w:rFonts w:ascii="Times New Roman" w:hAnsi="Times New Roman" w:cs="Times New Roman"/>
          <w:i/>
          <w:spacing w:val="-1"/>
          <w:sz w:val="24"/>
          <w:szCs w:val="24"/>
        </w:rPr>
        <w:t xml:space="preserve"> </w:t>
      </w:r>
      <w:r w:rsidRPr="00D10655">
        <w:rPr>
          <w:rFonts w:ascii="Times New Roman" w:hAnsi="Times New Roman" w:cs="Times New Roman"/>
          <w:i/>
          <w:sz w:val="24"/>
          <w:szCs w:val="24"/>
        </w:rPr>
        <w:t>Dow Pharmaceuticals,</w:t>
      </w:r>
      <w:r w:rsidRPr="00D10655">
        <w:rPr>
          <w:rFonts w:ascii="Times New Roman" w:hAnsi="Times New Roman" w:cs="Times New Roman"/>
          <w:i/>
          <w:spacing w:val="-1"/>
          <w:sz w:val="24"/>
          <w:szCs w:val="24"/>
        </w:rPr>
        <w:t xml:space="preserve"> </w:t>
      </w:r>
      <w:r w:rsidRPr="00D10655">
        <w:rPr>
          <w:rFonts w:ascii="Times New Roman" w:hAnsi="Times New Roman" w:cs="Times New Roman"/>
          <w:i/>
          <w:sz w:val="24"/>
          <w:szCs w:val="24"/>
        </w:rPr>
        <w:t>Inc</w:t>
      </w:r>
      <w:r w:rsidRPr="00D10655">
        <w:rPr>
          <w:rFonts w:ascii="Times New Roman" w:hAnsi="Times New Roman" w:cs="Times New Roman"/>
          <w:sz w:val="24"/>
          <w:szCs w:val="24"/>
        </w:rPr>
        <w:t>, 509</w:t>
      </w:r>
      <w:r w:rsidRPr="00D10655">
        <w:rPr>
          <w:rFonts w:ascii="Times New Roman" w:hAnsi="Times New Roman" w:cs="Times New Roman"/>
          <w:spacing w:val="-1"/>
          <w:sz w:val="24"/>
          <w:szCs w:val="24"/>
        </w:rPr>
        <w:t xml:space="preserve"> </w:t>
      </w:r>
      <w:r w:rsidRPr="00D10655">
        <w:rPr>
          <w:rFonts w:ascii="Times New Roman" w:hAnsi="Times New Roman" w:cs="Times New Roman"/>
          <w:sz w:val="24"/>
          <w:szCs w:val="24"/>
        </w:rPr>
        <w:t>US</w:t>
      </w:r>
      <w:r w:rsidRPr="00D10655">
        <w:rPr>
          <w:rFonts w:ascii="Times New Roman" w:hAnsi="Times New Roman" w:cs="Times New Roman"/>
          <w:spacing w:val="-1"/>
          <w:sz w:val="24"/>
          <w:szCs w:val="24"/>
        </w:rPr>
        <w:t xml:space="preserve"> </w:t>
      </w:r>
      <w:r w:rsidRPr="00D10655">
        <w:rPr>
          <w:rFonts w:ascii="Times New Roman" w:hAnsi="Times New Roman" w:cs="Times New Roman"/>
          <w:sz w:val="24"/>
          <w:szCs w:val="24"/>
        </w:rPr>
        <w:t>579</w:t>
      </w:r>
      <w:r w:rsidRPr="00D10655">
        <w:rPr>
          <w:rFonts w:ascii="Times New Roman" w:hAnsi="Times New Roman" w:cs="Times New Roman"/>
          <w:spacing w:val="-1"/>
          <w:sz w:val="24"/>
          <w:szCs w:val="24"/>
        </w:rPr>
        <w:t xml:space="preserve"> </w:t>
      </w:r>
      <w:r w:rsidRPr="00D10655">
        <w:rPr>
          <w:rFonts w:ascii="Times New Roman" w:hAnsi="Times New Roman" w:cs="Times New Roman"/>
          <w:sz w:val="24"/>
          <w:szCs w:val="24"/>
        </w:rPr>
        <w:t>(1993).</w:t>
      </w:r>
      <w:r w:rsidRPr="00D10655">
        <w:rPr>
          <w:rFonts w:ascii="Times New Roman" w:hAnsi="Times New Roman" w:cs="Times New Roman"/>
          <w:spacing w:val="-1"/>
          <w:sz w:val="24"/>
          <w:szCs w:val="24"/>
        </w:rPr>
        <w:t xml:space="preserve"> </w:t>
      </w:r>
      <w:r w:rsidRPr="00D10655">
        <w:rPr>
          <w:rFonts w:ascii="Times New Roman" w:hAnsi="Times New Roman" w:cs="Times New Roman"/>
          <w:i/>
          <w:sz w:val="24"/>
          <w:szCs w:val="24"/>
        </w:rPr>
        <w:t>See</w:t>
      </w:r>
      <w:r w:rsidRPr="00D10655">
        <w:rPr>
          <w:rFonts w:ascii="Times New Roman" w:hAnsi="Times New Roman" w:cs="Times New Roman"/>
          <w:i/>
          <w:spacing w:val="-2"/>
          <w:sz w:val="24"/>
          <w:szCs w:val="24"/>
        </w:rPr>
        <w:t xml:space="preserve"> </w:t>
      </w:r>
      <w:r w:rsidRPr="00D10655">
        <w:rPr>
          <w:rFonts w:ascii="Times New Roman" w:hAnsi="Times New Roman" w:cs="Times New Roman"/>
          <w:i/>
          <w:sz w:val="24"/>
          <w:szCs w:val="24"/>
        </w:rPr>
        <w:t>Gilbert</w:t>
      </w:r>
      <w:r w:rsidRPr="00D10655">
        <w:rPr>
          <w:rFonts w:ascii="Times New Roman" w:hAnsi="Times New Roman" w:cs="Times New Roman"/>
          <w:i/>
          <w:spacing w:val="-1"/>
          <w:sz w:val="24"/>
          <w:szCs w:val="24"/>
        </w:rPr>
        <w:t xml:space="preserve"> </w:t>
      </w:r>
      <w:r w:rsidRPr="00D10655">
        <w:rPr>
          <w:rFonts w:ascii="Times New Roman" w:hAnsi="Times New Roman" w:cs="Times New Roman"/>
          <w:i/>
          <w:sz w:val="24"/>
          <w:szCs w:val="24"/>
        </w:rPr>
        <w:t>v</w:t>
      </w:r>
      <w:r w:rsidRPr="00D10655">
        <w:rPr>
          <w:rFonts w:ascii="Times New Roman" w:hAnsi="Times New Roman" w:cs="Times New Roman"/>
          <w:i/>
          <w:spacing w:val="-1"/>
          <w:sz w:val="24"/>
          <w:szCs w:val="24"/>
        </w:rPr>
        <w:t xml:space="preserve"> </w:t>
      </w:r>
      <w:r w:rsidRPr="00D10655">
        <w:rPr>
          <w:rFonts w:ascii="Times New Roman" w:hAnsi="Times New Roman" w:cs="Times New Roman"/>
          <w:i/>
          <w:sz w:val="24"/>
          <w:szCs w:val="24"/>
        </w:rPr>
        <w:t>Daimler</w:t>
      </w:r>
      <w:r w:rsidRPr="00D10655">
        <w:rPr>
          <w:rFonts w:ascii="Times New Roman" w:hAnsi="Times New Roman" w:cs="Times New Roman"/>
          <w:i/>
          <w:spacing w:val="-1"/>
          <w:sz w:val="24"/>
          <w:szCs w:val="24"/>
        </w:rPr>
        <w:t xml:space="preserve"> </w:t>
      </w:r>
      <w:r w:rsidRPr="00D10655">
        <w:rPr>
          <w:rFonts w:ascii="Times New Roman" w:hAnsi="Times New Roman" w:cs="Times New Roman"/>
          <w:i/>
          <w:sz w:val="24"/>
          <w:szCs w:val="24"/>
        </w:rPr>
        <w:t xml:space="preserve">Chrysler Corp, </w:t>
      </w:r>
      <w:r w:rsidRPr="00D10655">
        <w:rPr>
          <w:rFonts w:ascii="Times New Roman" w:hAnsi="Times New Roman" w:cs="Times New Roman"/>
          <w:sz w:val="24"/>
          <w:szCs w:val="24"/>
        </w:rPr>
        <w:t>470 Mich 749, 781 (2004). Whe</w:t>
      </w:r>
      <w:r w:rsidR="00FC02C2">
        <w:rPr>
          <w:rFonts w:ascii="Times New Roman" w:hAnsi="Times New Roman" w:cs="Times New Roman"/>
          <w:sz w:val="24"/>
          <w:szCs w:val="24"/>
        </w:rPr>
        <w:t>n</w:t>
      </w:r>
      <w:r w:rsidRPr="00D10655">
        <w:rPr>
          <w:rFonts w:ascii="Times New Roman" w:hAnsi="Times New Roman" w:cs="Times New Roman"/>
          <w:sz w:val="24"/>
          <w:szCs w:val="24"/>
        </w:rPr>
        <w:t xml:space="preserve"> </w:t>
      </w:r>
      <w:r w:rsidR="00FC02C2">
        <w:rPr>
          <w:rFonts w:ascii="Times New Roman" w:hAnsi="Times New Roman" w:cs="Times New Roman"/>
          <w:sz w:val="24"/>
          <w:szCs w:val="24"/>
        </w:rPr>
        <w:t xml:space="preserve">a </w:t>
      </w:r>
      <w:r w:rsidRPr="00D10655">
        <w:rPr>
          <w:rFonts w:ascii="Times New Roman" w:hAnsi="Times New Roman" w:cs="Times New Roman"/>
          <w:sz w:val="24"/>
          <w:szCs w:val="24"/>
        </w:rPr>
        <w:t xml:space="preserve">party </w:t>
      </w:r>
      <w:r w:rsidR="00FC02C2">
        <w:rPr>
          <w:rFonts w:ascii="Times New Roman" w:hAnsi="Times New Roman" w:cs="Times New Roman"/>
          <w:sz w:val="24"/>
          <w:szCs w:val="24"/>
        </w:rPr>
        <w:t>challenges the</w:t>
      </w:r>
      <w:r w:rsidRPr="00D10655">
        <w:rPr>
          <w:rFonts w:ascii="Times New Roman" w:hAnsi="Times New Roman" w:cs="Times New Roman"/>
          <w:sz w:val="24"/>
          <w:szCs w:val="24"/>
        </w:rPr>
        <w:t xml:space="preserve"> admissibility of expert </w:t>
      </w:r>
      <w:r w:rsidR="00FC02C2">
        <w:rPr>
          <w:rFonts w:ascii="Times New Roman" w:hAnsi="Times New Roman" w:cs="Times New Roman"/>
          <w:sz w:val="24"/>
          <w:szCs w:val="24"/>
        </w:rPr>
        <w:t xml:space="preserve">or </w:t>
      </w:r>
      <w:r w:rsidRPr="00D10655">
        <w:rPr>
          <w:rFonts w:ascii="Times New Roman" w:hAnsi="Times New Roman" w:cs="Times New Roman"/>
          <w:sz w:val="24"/>
          <w:szCs w:val="24"/>
        </w:rPr>
        <w:t>scientific</w:t>
      </w:r>
      <w:r w:rsidRPr="00D10655">
        <w:rPr>
          <w:rFonts w:ascii="Times New Roman" w:hAnsi="Times New Roman" w:cs="Times New Roman"/>
          <w:spacing w:val="-11"/>
          <w:sz w:val="24"/>
          <w:szCs w:val="24"/>
        </w:rPr>
        <w:t xml:space="preserve"> </w:t>
      </w:r>
      <w:r w:rsidRPr="00D10655">
        <w:rPr>
          <w:rFonts w:ascii="Times New Roman" w:hAnsi="Times New Roman" w:cs="Times New Roman"/>
          <w:sz w:val="24"/>
          <w:szCs w:val="24"/>
        </w:rPr>
        <w:t>evidence</w:t>
      </w:r>
      <w:r w:rsidRPr="00D10655">
        <w:rPr>
          <w:rFonts w:ascii="Times New Roman" w:hAnsi="Times New Roman" w:cs="Times New Roman"/>
          <w:spacing w:val="-12"/>
          <w:sz w:val="24"/>
          <w:szCs w:val="24"/>
        </w:rPr>
        <w:t xml:space="preserve"> </w:t>
      </w:r>
      <w:r w:rsidRPr="00D10655">
        <w:rPr>
          <w:rFonts w:ascii="Times New Roman" w:hAnsi="Times New Roman" w:cs="Times New Roman"/>
          <w:sz w:val="24"/>
          <w:szCs w:val="24"/>
        </w:rPr>
        <w:t>under</w:t>
      </w:r>
      <w:r w:rsidRPr="00D10655">
        <w:rPr>
          <w:rFonts w:ascii="Times New Roman" w:hAnsi="Times New Roman" w:cs="Times New Roman"/>
          <w:spacing w:val="-9"/>
          <w:sz w:val="24"/>
          <w:szCs w:val="24"/>
        </w:rPr>
        <w:t xml:space="preserve"> </w:t>
      </w:r>
      <w:r w:rsidRPr="00D10655">
        <w:rPr>
          <w:rFonts w:ascii="Times New Roman" w:hAnsi="Times New Roman" w:cs="Times New Roman"/>
          <w:sz w:val="24"/>
          <w:szCs w:val="24"/>
        </w:rPr>
        <w:t>MRE</w:t>
      </w:r>
      <w:r w:rsidRPr="00D10655">
        <w:rPr>
          <w:rFonts w:ascii="Times New Roman" w:hAnsi="Times New Roman" w:cs="Times New Roman"/>
          <w:spacing w:val="-11"/>
          <w:sz w:val="24"/>
          <w:szCs w:val="24"/>
        </w:rPr>
        <w:t xml:space="preserve"> </w:t>
      </w:r>
      <w:r w:rsidRPr="00D10655">
        <w:rPr>
          <w:rFonts w:ascii="Times New Roman" w:hAnsi="Times New Roman" w:cs="Times New Roman"/>
          <w:sz w:val="24"/>
          <w:szCs w:val="24"/>
        </w:rPr>
        <w:t>702,</w:t>
      </w:r>
      <w:r w:rsidRPr="00D10655">
        <w:rPr>
          <w:rFonts w:ascii="Times New Roman" w:hAnsi="Times New Roman" w:cs="Times New Roman"/>
          <w:spacing w:val="-11"/>
          <w:sz w:val="24"/>
          <w:szCs w:val="24"/>
        </w:rPr>
        <w:t xml:space="preserve"> </w:t>
      </w:r>
      <w:r w:rsidRPr="00D10655">
        <w:rPr>
          <w:rFonts w:ascii="Times New Roman" w:hAnsi="Times New Roman" w:cs="Times New Roman"/>
          <w:sz w:val="24"/>
          <w:szCs w:val="24"/>
        </w:rPr>
        <w:t>the</w:t>
      </w:r>
      <w:r w:rsidRPr="00D10655">
        <w:rPr>
          <w:rFonts w:ascii="Times New Roman" w:hAnsi="Times New Roman" w:cs="Times New Roman"/>
          <w:spacing w:val="-11"/>
          <w:sz w:val="24"/>
          <w:szCs w:val="24"/>
        </w:rPr>
        <w:t xml:space="preserve"> </w:t>
      </w:r>
      <w:r w:rsidRPr="00D10655">
        <w:rPr>
          <w:rFonts w:ascii="Times New Roman" w:hAnsi="Times New Roman" w:cs="Times New Roman"/>
          <w:sz w:val="24"/>
          <w:szCs w:val="24"/>
        </w:rPr>
        <w:t>trial</w:t>
      </w:r>
      <w:r w:rsidRPr="00D10655">
        <w:rPr>
          <w:rFonts w:ascii="Times New Roman" w:hAnsi="Times New Roman" w:cs="Times New Roman"/>
          <w:spacing w:val="-10"/>
          <w:sz w:val="24"/>
          <w:szCs w:val="24"/>
        </w:rPr>
        <w:t xml:space="preserve"> </w:t>
      </w:r>
      <w:r w:rsidRPr="00D10655">
        <w:rPr>
          <w:rFonts w:ascii="Times New Roman" w:hAnsi="Times New Roman" w:cs="Times New Roman"/>
          <w:sz w:val="24"/>
          <w:szCs w:val="24"/>
        </w:rPr>
        <w:t>court</w:t>
      </w:r>
      <w:r w:rsidRPr="00D10655">
        <w:rPr>
          <w:rFonts w:ascii="Times New Roman" w:hAnsi="Times New Roman" w:cs="Times New Roman"/>
          <w:spacing w:val="-10"/>
          <w:sz w:val="24"/>
          <w:szCs w:val="24"/>
        </w:rPr>
        <w:t xml:space="preserve"> </w:t>
      </w:r>
      <w:r w:rsidRPr="00D10655">
        <w:rPr>
          <w:rFonts w:ascii="Times New Roman" w:hAnsi="Times New Roman" w:cs="Times New Roman"/>
          <w:sz w:val="24"/>
          <w:szCs w:val="24"/>
        </w:rPr>
        <w:t>must</w:t>
      </w:r>
      <w:r w:rsidRPr="00D10655">
        <w:rPr>
          <w:rFonts w:ascii="Times New Roman" w:hAnsi="Times New Roman" w:cs="Times New Roman"/>
          <w:spacing w:val="-10"/>
          <w:sz w:val="24"/>
          <w:szCs w:val="24"/>
        </w:rPr>
        <w:t xml:space="preserve"> </w:t>
      </w:r>
      <w:r w:rsidRPr="00D10655">
        <w:rPr>
          <w:rFonts w:ascii="Times New Roman" w:hAnsi="Times New Roman" w:cs="Times New Roman"/>
          <w:sz w:val="24"/>
          <w:szCs w:val="24"/>
        </w:rPr>
        <w:t>evaluate</w:t>
      </w:r>
      <w:r w:rsidRPr="00D10655">
        <w:rPr>
          <w:rFonts w:ascii="Times New Roman" w:hAnsi="Times New Roman" w:cs="Times New Roman"/>
          <w:spacing w:val="-11"/>
          <w:sz w:val="24"/>
          <w:szCs w:val="24"/>
        </w:rPr>
        <w:t xml:space="preserve"> </w:t>
      </w:r>
      <w:r w:rsidRPr="00D10655">
        <w:rPr>
          <w:rFonts w:ascii="Times New Roman" w:hAnsi="Times New Roman" w:cs="Times New Roman"/>
          <w:sz w:val="24"/>
          <w:szCs w:val="24"/>
        </w:rPr>
        <w:t>that</w:t>
      </w:r>
      <w:r w:rsidRPr="00D10655">
        <w:rPr>
          <w:rFonts w:ascii="Times New Roman" w:hAnsi="Times New Roman" w:cs="Times New Roman"/>
          <w:spacing w:val="-10"/>
          <w:sz w:val="24"/>
          <w:szCs w:val="24"/>
        </w:rPr>
        <w:t xml:space="preserve"> </w:t>
      </w:r>
      <w:r w:rsidRPr="00D10655">
        <w:rPr>
          <w:rFonts w:ascii="Times New Roman" w:hAnsi="Times New Roman" w:cs="Times New Roman"/>
          <w:sz w:val="24"/>
          <w:szCs w:val="24"/>
        </w:rPr>
        <w:t>testimony.</w:t>
      </w:r>
      <w:r w:rsidRPr="00D10655">
        <w:rPr>
          <w:rFonts w:ascii="Times New Roman" w:hAnsi="Times New Roman" w:cs="Times New Roman"/>
          <w:spacing w:val="-11"/>
          <w:sz w:val="24"/>
          <w:szCs w:val="24"/>
        </w:rPr>
        <w:t xml:space="preserve"> </w:t>
      </w:r>
      <w:r w:rsidRPr="00D10655">
        <w:rPr>
          <w:rFonts w:ascii="Times New Roman" w:hAnsi="Times New Roman" w:cs="Times New Roman"/>
          <w:i/>
          <w:sz w:val="24"/>
          <w:szCs w:val="24"/>
        </w:rPr>
        <w:t>Craig</w:t>
      </w:r>
      <w:r w:rsidRPr="00D10655">
        <w:rPr>
          <w:rFonts w:ascii="Times New Roman" w:hAnsi="Times New Roman" w:cs="Times New Roman"/>
          <w:i/>
          <w:spacing w:val="-11"/>
          <w:sz w:val="24"/>
          <w:szCs w:val="24"/>
        </w:rPr>
        <w:t xml:space="preserve"> </w:t>
      </w:r>
      <w:r w:rsidRPr="00D10655">
        <w:rPr>
          <w:rFonts w:ascii="Times New Roman" w:hAnsi="Times New Roman" w:cs="Times New Roman"/>
          <w:i/>
          <w:sz w:val="24"/>
          <w:szCs w:val="24"/>
        </w:rPr>
        <w:t>v</w:t>
      </w:r>
      <w:r w:rsidRPr="00D10655">
        <w:rPr>
          <w:rFonts w:ascii="Times New Roman" w:hAnsi="Times New Roman" w:cs="Times New Roman"/>
          <w:i/>
          <w:spacing w:val="-11"/>
          <w:sz w:val="24"/>
          <w:szCs w:val="24"/>
        </w:rPr>
        <w:t xml:space="preserve"> </w:t>
      </w:r>
      <w:r w:rsidRPr="00D10655">
        <w:rPr>
          <w:rFonts w:ascii="Times New Roman" w:hAnsi="Times New Roman" w:cs="Times New Roman"/>
          <w:i/>
          <w:sz w:val="24"/>
          <w:szCs w:val="24"/>
        </w:rPr>
        <w:t xml:space="preserve">Oakwood Hosp </w:t>
      </w:r>
      <w:r w:rsidRPr="00D10655">
        <w:rPr>
          <w:rFonts w:ascii="Times New Roman" w:hAnsi="Times New Roman" w:cs="Times New Roman"/>
          <w:sz w:val="24"/>
          <w:szCs w:val="24"/>
        </w:rPr>
        <w:t xml:space="preserve">471 Mich 67, 82 (2004) (finding that the trial court erred in concluding that there was no justification for a </w:t>
      </w:r>
      <w:r w:rsidRPr="00D10655">
        <w:rPr>
          <w:rFonts w:ascii="Times New Roman" w:hAnsi="Times New Roman" w:cs="Times New Roman"/>
          <w:i/>
          <w:sz w:val="24"/>
          <w:szCs w:val="24"/>
        </w:rPr>
        <w:t xml:space="preserve">Daubert </w:t>
      </w:r>
      <w:r w:rsidRPr="00D10655">
        <w:rPr>
          <w:rFonts w:ascii="Times New Roman" w:hAnsi="Times New Roman" w:cs="Times New Roman"/>
          <w:sz w:val="24"/>
          <w:szCs w:val="24"/>
        </w:rPr>
        <w:t>hearing where defendant raised the issue of scientific reliability).</w:t>
      </w:r>
    </w:p>
    <w:p w14:paraId="7B47F4E5" w14:textId="5A7E2E42" w:rsidR="00A5478C" w:rsidRPr="00D10655" w:rsidRDefault="00A5478C" w:rsidP="006C22A6">
      <w:pPr>
        <w:spacing w:after="0" w:line="480" w:lineRule="auto"/>
        <w:ind w:firstLine="720"/>
        <w:jc w:val="both"/>
        <w:rPr>
          <w:rFonts w:ascii="Times New Roman" w:hAnsi="Times New Roman" w:cs="Times New Roman"/>
          <w:sz w:val="24"/>
          <w:szCs w:val="24"/>
        </w:rPr>
      </w:pPr>
      <w:r w:rsidRPr="00D10655">
        <w:rPr>
          <w:rFonts w:ascii="Times New Roman" w:hAnsi="Times New Roman" w:cs="Times New Roman"/>
          <w:sz w:val="24"/>
          <w:szCs w:val="24"/>
        </w:rPr>
        <w:t xml:space="preserve">Under </w:t>
      </w:r>
      <w:r w:rsidRPr="00D10655">
        <w:rPr>
          <w:rFonts w:ascii="Times New Roman" w:hAnsi="Times New Roman" w:cs="Times New Roman"/>
          <w:i/>
          <w:sz w:val="24"/>
          <w:szCs w:val="24"/>
        </w:rPr>
        <w:t xml:space="preserve">Daubert </w:t>
      </w:r>
      <w:r w:rsidRPr="00D10655">
        <w:rPr>
          <w:rFonts w:ascii="Times New Roman" w:hAnsi="Times New Roman" w:cs="Times New Roman"/>
          <w:sz w:val="24"/>
          <w:szCs w:val="24"/>
        </w:rPr>
        <w:t xml:space="preserve">and MRE 702, the trial court serves as gatekeeper against unreliable and unscientific evidence. </w:t>
      </w:r>
      <w:r w:rsidRPr="00D10655">
        <w:rPr>
          <w:rFonts w:ascii="Times New Roman" w:hAnsi="Times New Roman" w:cs="Times New Roman"/>
          <w:i/>
          <w:sz w:val="24"/>
          <w:szCs w:val="24"/>
        </w:rPr>
        <w:t xml:space="preserve">Gilbert, </w:t>
      </w:r>
      <w:r w:rsidRPr="00D10655">
        <w:rPr>
          <w:rFonts w:ascii="Times New Roman" w:hAnsi="Times New Roman" w:cs="Times New Roman"/>
          <w:sz w:val="24"/>
          <w:szCs w:val="24"/>
        </w:rPr>
        <w:t xml:space="preserve">470 Mich at 782. To fulfill this role, the court must conduct a searching inquiry into not only the experts’ credentials and conclusions, but also their methods and analyses, as applied to the case at hand. The proponent of the expert testimony bears the burden of establishing, by a preponderance of the evidence, that the contested expert testimony is sufficiently reliable to be admissible. </w:t>
      </w:r>
      <w:r w:rsidRPr="00D10655">
        <w:rPr>
          <w:rFonts w:ascii="Times New Roman" w:hAnsi="Times New Roman" w:cs="Times New Roman"/>
          <w:i/>
          <w:sz w:val="24"/>
          <w:szCs w:val="24"/>
        </w:rPr>
        <w:t>Craig</w:t>
      </w:r>
      <w:r w:rsidRPr="00D10655">
        <w:rPr>
          <w:rFonts w:ascii="Times New Roman" w:hAnsi="Times New Roman" w:cs="Times New Roman"/>
          <w:sz w:val="24"/>
          <w:szCs w:val="24"/>
        </w:rPr>
        <w:t xml:space="preserve">, 471 Mich </w:t>
      </w:r>
      <w:r w:rsidR="00D10655">
        <w:rPr>
          <w:rFonts w:ascii="Times New Roman" w:hAnsi="Times New Roman" w:cs="Times New Roman"/>
          <w:sz w:val="24"/>
          <w:szCs w:val="24"/>
        </w:rPr>
        <w:t>a</w:t>
      </w:r>
      <w:r w:rsidRPr="00D10655">
        <w:rPr>
          <w:rFonts w:ascii="Times New Roman" w:hAnsi="Times New Roman" w:cs="Times New Roman"/>
          <w:sz w:val="24"/>
          <w:szCs w:val="24"/>
        </w:rPr>
        <w:t xml:space="preserve">t 83; </w:t>
      </w:r>
      <w:proofErr w:type="spellStart"/>
      <w:r w:rsidRPr="00D10655">
        <w:rPr>
          <w:rFonts w:ascii="Times New Roman" w:hAnsi="Times New Roman" w:cs="Times New Roman"/>
          <w:i/>
          <w:sz w:val="24"/>
          <w:szCs w:val="24"/>
        </w:rPr>
        <w:t>Bourjaily</w:t>
      </w:r>
      <w:proofErr w:type="spellEnd"/>
      <w:r w:rsidRPr="00D10655">
        <w:rPr>
          <w:rFonts w:ascii="Times New Roman" w:hAnsi="Times New Roman" w:cs="Times New Roman"/>
          <w:i/>
          <w:sz w:val="24"/>
          <w:szCs w:val="24"/>
        </w:rPr>
        <w:t xml:space="preserve"> v U</w:t>
      </w:r>
      <w:r w:rsidR="00FC02C2">
        <w:rPr>
          <w:rFonts w:ascii="Times New Roman" w:hAnsi="Times New Roman" w:cs="Times New Roman"/>
          <w:i/>
          <w:sz w:val="24"/>
          <w:szCs w:val="24"/>
        </w:rPr>
        <w:t xml:space="preserve">nited </w:t>
      </w:r>
      <w:r w:rsidRPr="00D10655">
        <w:rPr>
          <w:rFonts w:ascii="Times New Roman" w:hAnsi="Times New Roman" w:cs="Times New Roman"/>
          <w:i/>
          <w:sz w:val="24"/>
          <w:szCs w:val="24"/>
        </w:rPr>
        <w:t>S</w:t>
      </w:r>
      <w:r w:rsidR="00FC02C2">
        <w:rPr>
          <w:rFonts w:ascii="Times New Roman" w:hAnsi="Times New Roman" w:cs="Times New Roman"/>
          <w:i/>
          <w:sz w:val="24"/>
          <w:szCs w:val="24"/>
        </w:rPr>
        <w:t>tates</w:t>
      </w:r>
      <w:r w:rsidRPr="00D10655">
        <w:rPr>
          <w:rFonts w:ascii="Times New Roman" w:hAnsi="Times New Roman" w:cs="Times New Roman"/>
          <w:i/>
          <w:sz w:val="24"/>
          <w:szCs w:val="24"/>
        </w:rPr>
        <w:t xml:space="preserve">, </w:t>
      </w:r>
      <w:r w:rsidRPr="00D10655">
        <w:rPr>
          <w:rFonts w:ascii="Times New Roman" w:hAnsi="Times New Roman" w:cs="Times New Roman"/>
          <w:sz w:val="24"/>
          <w:szCs w:val="24"/>
        </w:rPr>
        <w:t>483 US 171, 175-6 (1987).</w:t>
      </w:r>
    </w:p>
    <w:p w14:paraId="7C8462D9" w14:textId="0E27B480" w:rsidR="00A5478C" w:rsidRPr="00D10655" w:rsidRDefault="00A5478C" w:rsidP="006C22A6">
      <w:pPr>
        <w:spacing w:after="0" w:line="480" w:lineRule="auto"/>
        <w:ind w:firstLine="720"/>
        <w:jc w:val="both"/>
        <w:rPr>
          <w:rFonts w:ascii="Times New Roman" w:hAnsi="Times New Roman" w:cs="Times New Roman"/>
          <w:sz w:val="24"/>
          <w:szCs w:val="24"/>
        </w:rPr>
      </w:pPr>
      <w:r w:rsidRPr="00D10655">
        <w:rPr>
          <w:rFonts w:ascii="Times New Roman" w:hAnsi="Times New Roman" w:cs="Times New Roman"/>
          <w:sz w:val="24"/>
          <w:szCs w:val="24"/>
        </w:rPr>
        <w:t xml:space="preserve">Under MRE 702, if the court determines that scientific, technical, or other specialized knowledge will assist the trier of fact to understand the evidence or to determine a fact in issue, the court should </w:t>
      </w:r>
      <w:r w:rsidR="00FC02C2">
        <w:rPr>
          <w:rFonts w:ascii="Times New Roman" w:hAnsi="Times New Roman" w:cs="Times New Roman"/>
          <w:sz w:val="24"/>
          <w:szCs w:val="24"/>
        </w:rPr>
        <w:t xml:space="preserve">then </w:t>
      </w:r>
      <w:r w:rsidRPr="00D10655">
        <w:rPr>
          <w:rFonts w:ascii="Times New Roman" w:hAnsi="Times New Roman" w:cs="Times New Roman"/>
          <w:sz w:val="24"/>
          <w:szCs w:val="24"/>
        </w:rPr>
        <w:t>consider whether:</w:t>
      </w:r>
    </w:p>
    <w:p w14:paraId="68A68B4A" w14:textId="77777777" w:rsidR="00A5478C" w:rsidRPr="00D10655" w:rsidRDefault="00A5478C" w:rsidP="005C0E68">
      <w:pPr>
        <w:pStyle w:val="ListParagraph"/>
        <w:widowControl w:val="0"/>
        <w:numPr>
          <w:ilvl w:val="2"/>
          <w:numId w:val="8"/>
        </w:numPr>
        <w:tabs>
          <w:tab w:val="left" w:pos="2016"/>
        </w:tabs>
        <w:autoSpaceDE w:val="0"/>
        <w:autoSpaceDN w:val="0"/>
        <w:spacing w:after="120" w:line="240" w:lineRule="auto"/>
        <w:ind w:left="2016" w:hanging="337"/>
        <w:contextualSpacing w:val="0"/>
        <w:jc w:val="both"/>
        <w:rPr>
          <w:rFonts w:ascii="Times New Roman" w:hAnsi="Times New Roman" w:cs="Times New Roman"/>
          <w:sz w:val="24"/>
          <w:szCs w:val="24"/>
        </w:rPr>
      </w:pPr>
      <w:r w:rsidRPr="00D10655">
        <w:rPr>
          <w:rFonts w:ascii="Times New Roman" w:hAnsi="Times New Roman" w:cs="Times New Roman"/>
          <w:sz w:val="24"/>
          <w:szCs w:val="24"/>
        </w:rPr>
        <w:t>the</w:t>
      </w:r>
      <w:r w:rsidRPr="00D10655">
        <w:rPr>
          <w:rFonts w:ascii="Times New Roman" w:hAnsi="Times New Roman" w:cs="Times New Roman"/>
          <w:spacing w:val="-2"/>
          <w:sz w:val="24"/>
          <w:szCs w:val="24"/>
        </w:rPr>
        <w:t xml:space="preserve"> </w:t>
      </w:r>
      <w:r w:rsidRPr="00D10655">
        <w:rPr>
          <w:rFonts w:ascii="Times New Roman" w:hAnsi="Times New Roman" w:cs="Times New Roman"/>
          <w:sz w:val="24"/>
          <w:szCs w:val="24"/>
        </w:rPr>
        <w:t>testimony</w:t>
      </w:r>
      <w:r w:rsidRPr="00D10655">
        <w:rPr>
          <w:rFonts w:ascii="Times New Roman" w:hAnsi="Times New Roman" w:cs="Times New Roman"/>
          <w:spacing w:val="-1"/>
          <w:sz w:val="24"/>
          <w:szCs w:val="24"/>
        </w:rPr>
        <w:t xml:space="preserve"> </w:t>
      </w:r>
      <w:r w:rsidRPr="00D10655">
        <w:rPr>
          <w:rFonts w:ascii="Times New Roman" w:hAnsi="Times New Roman" w:cs="Times New Roman"/>
          <w:sz w:val="24"/>
          <w:szCs w:val="24"/>
        </w:rPr>
        <w:t>is</w:t>
      </w:r>
      <w:r w:rsidRPr="00D10655">
        <w:rPr>
          <w:rFonts w:ascii="Times New Roman" w:hAnsi="Times New Roman" w:cs="Times New Roman"/>
          <w:spacing w:val="-1"/>
          <w:sz w:val="24"/>
          <w:szCs w:val="24"/>
        </w:rPr>
        <w:t xml:space="preserve"> </w:t>
      </w:r>
      <w:r w:rsidRPr="00D10655">
        <w:rPr>
          <w:rFonts w:ascii="Times New Roman" w:hAnsi="Times New Roman" w:cs="Times New Roman"/>
          <w:sz w:val="24"/>
          <w:szCs w:val="24"/>
        </w:rPr>
        <w:t>based on</w:t>
      </w:r>
      <w:r w:rsidRPr="00D10655">
        <w:rPr>
          <w:rFonts w:ascii="Times New Roman" w:hAnsi="Times New Roman" w:cs="Times New Roman"/>
          <w:spacing w:val="-1"/>
          <w:sz w:val="24"/>
          <w:szCs w:val="24"/>
        </w:rPr>
        <w:t xml:space="preserve"> </w:t>
      </w:r>
      <w:r w:rsidRPr="00D10655">
        <w:rPr>
          <w:rFonts w:ascii="Times New Roman" w:hAnsi="Times New Roman" w:cs="Times New Roman"/>
          <w:sz w:val="24"/>
          <w:szCs w:val="24"/>
        </w:rPr>
        <w:t>sufficient</w:t>
      </w:r>
      <w:r w:rsidRPr="00D10655">
        <w:rPr>
          <w:rFonts w:ascii="Times New Roman" w:hAnsi="Times New Roman" w:cs="Times New Roman"/>
          <w:spacing w:val="-1"/>
          <w:sz w:val="24"/>
          <w:szCs w:val="24"/>
        </w:rPr>
        <w:t xml:space="preserve"> </w:t>
      </w:r>
      <w:r w:rsidRPr="00D10655">
        <w:rPr>
          <w:rFonts w:ascii="Times New Roman" w:hAnsi="Times New Roman" w:cs="Times New Roman"/>
          <w:sz w:val="24"/>
          <w:szCs w:val="24"/>
        </w:rPr>
        <w:t>facts</w:t>
      </w:r>
      <w:r w:rsidRPr="00D10655">
        <w:rPr>
          <w:rFonts w:ascii="Times New Roman" w:hAnsi="Times New Roman" w:cs="Times New Roman"/>
          <w:spacing w:val="-1"/>
          <w:sz w:val="24"/>
          <w:szCs w:val="24"/>
        </w:rPr>
        <w:t xml:space="preserve"> </w:t>
      </w:r>
      <w:r w:rsidRPr="00D10655">
        <w:rPr>
          <w:rFonts w:ascii="Times New Roman" w:hAnsi="Times New Roman" w:cs="Times New Roman"/>
          <w:sz w:val="24"/>
          <w:szCs w:val="24"/>
        </w:rPr>
        <w:t>or</w:t>
      </w:r>
      <w:r w:rsidRPr="00D10655">
        <w:rPr>
          <w:rFonts w:ascii="Times New Roman" w:hAnsi="Times New Roman" w:cs="Times New Roman"/>
          <w:spacing w:val="-1"/>
          <w:sz w:val="24"/>
          <w:szCs w:val="24"/>
        </w:rPr>
        <w:t xml:space="preserve"> </w:t>
      </w:r>
      <w:r w:rsidRPr="00D10655">
        <w:rPr>
          <w:rFonts w:ascii="Times New Roman" w:hAnsi="Times New Roman" w:cs="Times New Roman"/>
          <w:spacing w:val="-4"/>
          <w:sz w:val="24"/>
          <w:szCs w:val="24"/>
        </w:rPr>
        <w:t>data,</w:t>
      </w:r>
    </w:p>
    <w:p w14:paraId="583A8633" w14:textId="77777777" w:rsidR="00A5478C" w:rsidRPr="00D10655" w:rsidRDefault="00A5478C" w:rsidP="005C0E68">
      <w:pPr>
        <w:pStyle w:val="ListParagraph"/>
        <w:widowControl w:val="0"/>
        <w:numPr>
          <w:ilvl w:val="2"/>
          <w:numId w:val="8"/>
        </w:numPr>
        <w:tabs>
          <w:tab w:val="left" w:pos="2025"/>
        </w:tabs>
        <w:autoSpaceDE w:val="0"/>
        <w:autoSpaceDN w:val="0"/>
        <w:spacing w:after="120" w:line="240" w:lineRule="auto"/>
        <w:ind w:left="1679" w:firstLine="0"/>
        <w:contextualSpacing w:val="0"/>
        <w:jc w:val="both"/>
        <w:rPr>
          <w:rFonts w:ascii="Times New Roman" w:hAnsi="Times New Roman" w:cs="Times New Roman"/>
          <w:sz w:val="24"/>
          <w:szCs w:val="24"/>
        </w:rPr>
      </w:pPr>
      <w:r w:rsidRPr="00D10655">
        <w:rPr>
          <w:rFonts w:ascii="Times New Roman" w:hAnsi="Times New Roman" w:cs="Times New Roman"/>
          <w:sz w:val="24"/>
          <w:szCs w:val="24"/>
        </w:rPr>
        <w:t xml:space="preserve">the testimony is the product of reliable principles and methods, </w:t>
      </w:r>
      <w:r w:rsidRPr="00D10655">
        <w:rPr>
          <w:rFonts w:ascii="Times New Roman" w:hAnsi="Times New Roman" w:cs="Times New Roman"/>
          <w:spacing w:val="-4"/>
          <w:sz w:val="24"/>
          <w:szCs w:val="24"/>
        </w:rPr>
        <w:t>and</w:t>
      </w:r>
    </w:p>
    <w:p w14:paraId="4D1C1959" w14:textId="3D437714" w:rsidR="00A5478C" w:rsidRPr="00D10655" w:rsidRDefault="00A5478C" w:rsidP="005C0E68">
      <w:pPr>
        <w:pStyle w:val="ListParagraph"/>
        <w:widowControl w:val="0"/>
        <w:numPr>
          <w:ilvl w:val="2"/>
          <w:numId w:val="8"/>
        </w:numPr>
        <w:tabs>
          <w:tab w:val="left" w:pos="2006"/>
        </w:tabs>
        <w:autoSpaceDE w:val="0"/>
        <w:autoSpaceDN w:val="0"/>
        <w:spacing w:after="240" w:line="240" w:lineRule="auto"/>
        <w:ind w:left="1685" w:firstLine="0"/>
        <w:contextualSpacing w:val="0"/>
        <w:jc w:val="both"/>
        <w:rPr>
          <w:rFonts w:ascii="Times New Roman" w:hAnsi="Times New Roman" w:cs="Times New Roman"/>
          <w:sz w:val="24"/>
          <w:szCs w:val="24"/>
        </w:rPr>
      </w:pPr>
      <w:r w:rsidRPr="00D10655">
        <w:rPr>
          <w:rFonts w:ascii="Times New Roman" w:hAnsi="Times New Roman" w:cs="Times New Roman"/>
          <w:sz w:val="24"/>
          <w:szCs w:val="24"/>
        </w:rPr>
        <w:lastRenderedPageBreak/>
        <w:t>the</w:t>
      </w:r>
      <w:r w:rsidRPr="00D10655">
        <w:rPr>
          <w:rFonts w:ascii="Times New Roman" w:hAnsi="Times New Roman" w:cs="Times New Roman"/>
          <w:spacing w:val="-14"/>
          <w:sz w:val="24"/>
          <w:szCs w:val="24"/>
        </w:rPr>
        <w:t xml:space="preserve"> </w:t>
      </w:r>
      <w:r w:rsidRPr="00D10655">
        <w:rPr>
          <w:rFonts w:ascii="Times New Roman" w:hAnsi="Times New Roman" w:cs="Times New Roman"/>
          <w:sz w:val="24"/>
          <w:szCs w:val="24"/>
        </w:rPr>
        <w:t>witness</w:t>
      </w:r>
      <w:r w:rsidRPr="00D10655">
        <w:rPr>
          <w:rFonts w:ascii="Times New Roman" w:hAnsi="Times New Roman" w:cs="Times New Roman"/>
          <w:spacing w:val="-14"/>
          <w:sz w:val="24"/>
          <w:szCs w:val="24"/>
        </w:rPr>
        <w:t xml:space="preserve"> </w:t>
      </w:r>
      <w:r w:rsidRPr="00D10655">
        <w:rPr>
          <w:rFonts w:ascii="Times New Roman" w:hAnsi="Times New Roman" w:cs="Times New Roman"/>
          <w:sz w:val="24"/>
          <w:szCs w:val="24"/>
        </w:rPr>
        <w:t>has</w:t>
      </w:r>
      <w:r w:rsidRPr="00D10655">
        <w:rPr>
          <w:rFonts w:ascii="Times New Roman" w:hAnsi="Times New Roman" w:cs="Times New Roman"/>
          <w:spacing w:val="-14"/>
          <w:sz w:val="24"/>
          <w:szCs w:val="24"/>
        </w:rPr>
        <w:t xml:space="preserve"> </w:t>
      </w:r>
      <w:r w:rsidRPr="00D10655">
        <w:rPr>
          <w:rFonts w:ascii="Times New Roman" w:hAnsi="Times New Roman" w:cs="Times New Roman"/>
          <w:sz w:val="24"/>
          <w:szCs w:val="24"/>
        </w:rPr>
        <w:t>applied</w:t>
      </w:r>
      <w:r w:rsidRPr="00D10655">
        <w:rPr>
          <w:rFonts w:ascii="Times New Roman" w:hAnsi="Times New Roman" w:cs="Times New Roman"/>
          <w:spacing w:val="-14"/>
          <w:sz w:val="24"/>
          <w:szCs w:val="24"/>
        </w:rPr>
        <w:t xml:space="preserve"> </w:t>
      </w:r>
      <w:r w:rsidRPr="00D10655">
        <w:rPr>
          <w:rFonts w:ascii="Times New Roman" w:hAnsi="Times New Roman" w:cs="Times New Roman"/>
          <w:sz w:val="24"/>
          <w:szCs w:val="24"/>
        </w:rPr>
        <w:t>the</w:t>
      </w:r>
      <w:r w:rsidRPr="00D10655">
        <w:rPr>
          <w:rFonts w:ascii="Times New Roman" w:hAnsi="Times New Roman" w:cs="Times New Roman"/>
          <w:spacing w:val="-14"/>
          <w:sz w:val="24"/>
          <w:szCs w:val="24"/>
        </w:rPr>
        <w:t xml:space="preserve"> </w:t>
      </w:r>
      <w:r w:rsidRPr="00D10655">
        <w:rPr>
          <w:rFonts w:ascii="Times New Roman" w:hAnsi="Times New Roman" w:cs="Times New Roman"/>
          <w:sz w:val="24"/>
          <w:szCs w:val="24"/>
        </w:rPr>
        <w:t>principles</w:t>
      </w:r>
      <w:r w:rsidRPr="00D10655">
        <w:rPr>
          <w:rFonts w:ascii="Times New Roman" w:hAnsi="Times New Roman" w:cs="Times New Roman"/>
          <w:spacing w:val="-14"/>
          <w:sz w:val="24"/>
          <w:szCs w:val="24"/>
        </w:rPr>
        <w:t xml:space="preserve"> </w:t>
      </w:r>
      <w:r w:rsidRPr="00D10655">
        <w:rPr>
          <w:rFonts w:ascii="Times New Roman" w:hAnsi="Times New Roman" w:cs="Times New Roman"/>
          <w:sz w:val="24"/>
          <w:szCs w:val="24"/>
        </w:rPr>
        <w:t>and</w:t>
      </w:r>
      <w:r w:rsidRPr="00D10655">
        <w:rPr>
          <w:rFonts w:ascii="Times New Roman" w:hAnsi="Times New Roman" w:cs="Times New Roman"/>
          <w:spacing w:val="-14"/>
          <w:sz w:val="24"/>
          <w:szCs w:val="24"/>
        </w:rPr>
        <w:t xml:space="preserve"> </w:t>
      </w:r>
      <w:r w:rsidRPr="00D10655">
        <w:rPr>
          <w:rFonts w:ascii="Times New Roman" w:hAnsi="Times New Roman" w:cs="Times New Roman"/>
          <w:sz w:val="24"/>
          <w:szCs w:val="24"/>
        </w:rPr>
        <w:t>methods</w:t>
      </w:r>
      <w:r w:rsidRPr="00D10655">
        <w:rPr>
          <w:rFonts w:ascii="Times New Roman" w:hAnsi="Times New Roman" w:cs="Times New Roman"/>
          <w:spacing w:val="-14"/>
          <w:sz w:val="24"/>
          <w:szCs w:val="24"/>
        </w:rPr>
        <w:t xml:space="preserve"> </w:t>
      </w:r>
      <w:r w:rsidRPr="00D10655">
        <w:rPr>
          <w:rFonts w:ascii="Times New Roman" w:hAnsi="Times New Roman" w:cs="Times New Roman"/>
          <w:sz w:val="24"/>
          <w:szCs w:val="24"/>
        </w:rPr>
        <w:t>reliably</w:t>
      </w:r>
      <w:r w:rsidRPr="00D10655">
        <w:rPr>
          <w:rFonts w:ascii="Times New Roman" w:hAnsi="Times New Roman" w:cs="Times New Roman"/>
          <w:spacing w:val="-14"/>
          <w:sz w:val="24"/>
          <w:szCs w:val="24"/>
        </w:rPr>
        <w:t xml:space="preserve"> </w:t>
      </w:r>
      <w:r w:rsidRPr="00D10655">
        <w:rPr>
          <w:rFonts w:ascii="Times New Roman" w:hAnsi="Times New Roman" w:cs="Times New Roman"/>
          <w:sz w:val="24"/>
          <w:szCs w:val="24"/>
        </w:rPr>
        <w:t>to</w:t>
      </w:r>
      <w:r w:rsidRPr="00D10655">
        <w:rPr>
          <w:rFonts w:ascii="Times New Roman" w:hAnsi="Times New Roman" w:cs="Times New Roman"/>
          <w:spacing w:val="-14"/>
          <w:sz w:val="24"/>
          <w:szCs w:val="24"/>
        </w:rPr>
        <w:t xml:space="preserve"> </w:t>
      </w:r>
      <w:r w:rsidRPr="00D10655">
        <w:rPr>
          <w:rFonts w:ascii="Times New Roman" w:hAnsi="Times New Roman" w:cs="Times New Roman"/>
          <w:sz w:val="24"/>
          <w:szCs w:val="24"/>
        </w:rPr>
        <w:t>the facts of the case.</w:t>
      </w:r>
    </w:p>
    <w:p w14:paraId="4B628612" w14:textId="77777777" w:rsidR="00175229" w:rsidRDefault="00D10655" w:rsidP="00175229">
      <w:pPr>
        <w:widowControl w:val="0"/>
        <w:tabs>
          <w:tab w:val="left" w:pos="0"/>
        </w:tabs>
        <w:autoSpaceDE w:val="0"/>
        <w:autoSpaceDN w:val="0"/>
        <w:spacing w:after="0" w:line="480" w:lineRule="auto"/>
        <w:jc w:val="both"/>
        <w:rPr>
          <w:rFonts w:ascii="Times New Roman" w:hAnsi="Times New Roman" w:cs="Times New Roman"/>
          <w:sz w:val="24"/>
          <w:szCs w:val="24"/>
        </w:rPr>
      </w:pPr>
      <w:r w:rsidRPr="00D10655">
        <w:rPr>
          <w:rFonts w:ascii="Times New Roman" w:hAnsi="Times New Roman" w:cs="Times New Roman"/>
          <w:sz w:val="24"/>
          <w:szCs w:val="24"/>
        </w:rPr>
        <w:t xml:space="preserve">MRE 702. </w:t>
      </w:r>
    </w:p>
    <w:p w14:paraId="0C7F2E15" w14:textId="668D4585" w:rsidR="00A5478C" w:rsidRPr="00D10655" w:rsidRDefault="0064619D" w:rsidP="00175229">
      <w:pPr>
        <w:widowControl w:val="0"/>
        <w:tabs>
          <w:tab w:val="left" w:pos="0"/>
        </w:tabs>
        <w:autoSpaceDE w:val="0"/>
        <w:autoSpaceDN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w:t>
      </w:r>
      <w:r w:rsidR="00D10655" w:rsidRPr="00D10655">
        <w:rPr>
          <w:rFonts w:ascii="Times New Roman" w:hAnsi="Times New Roman" w:cs="Times New Roman"/>
          <w:sz w:val="24"/>
          <w:szCs w:val="24"/>
        </w:rPr>
        <w:t xml:space="preserve">he Michigan Supreme Court </w:t>
      </w:r>
      <w:r>
        <w:rPr>
          <w:rFonts w:ascii="Times New Roman" w:hAnsi="Times New Roman" w:cs="Times New Roman"/>
          <w:sz w:val="24"/>
          <w:szCs w:val="24"/>
        </w:rPr>
        <w:t>instructs</w:t>
      </w:r>
      <w:r w:rsidR="00D10655" w:rsidRPr="00D10655">
        <w:rPr>
          <w:rFonts w:ascii="Times New Roman" w:hAnsi="Times New Roman" w:cs="Times New Roman"/>
          <w:sz w:val="24"/>
          <w:szCs w:val="24"/>
        </w:rPr>
        <w:t xml:space="preserve"> that “the trial court’s obligation</w:t>
      </w:r>
      <w:r w:rsidR="00D10655" w:rsidRPr="00D10655">
        <w:rPr>
          <w:rFonts w:ascii="Times New Roman" w:hAnsi="Times New Roman" w:cs="Times New Roman"/>
          <w:spacing w:val="-1"/>
          <w:sz w:val="24"/>
          <w:szCs w:val="24"/>
        </w:rPr>
        <w:t xml:space="preserve"> </w:t>
      </w:r>
      <w:r w:rsidR="00D10655" w:rsidRPr="00D10655">
        <w:rPr>
          <w:rFonts w:ascii="Times New Roman" w:hAnsi="Times New Roman" w:cs="Times New Roman"/>
          <w:sz w:val="24"/>
          <w:szCs w:val="24"/>
        </w:rPr>
        <w:t>under</w:t>
      </w:r>
      <w:r w:rsidR="00D10655" w:rsidRPr="00D10655">
        <w:rPr>
          <w:rFonts w:ascii="Times New Roman" w:hAnsi="Times New Roman" w:cs="Times New Roman"/>
          <w:spacing w:val="-2"/>
          <w:sz w:val="24"/>
          <w:szCs w:val="24"/>
        </w:rPr>
        <w:t xml:space="preserve"> </w:t>
      </w:r>
      <w:r w:rsidR="00D10655" w:rsidRPr="00D10655">
        <w:rPr>
          <w:rFonts w:ascii="Times New Roman" w:hAnsi="Times New Roman" w:cs="Times New Roman"/>
          <w:sz w:val="24"/>
          <w:szCs w:val="24"/>
        </w:rPr>
        <w:t>MRE</w:t>
      </w:r>
      <w:r w:rsidR="00D10655" w:rsidRPr="00D10655">
        <w:rPr>
          <w:rFonts w:ascii="Times New Roman" w:hAnsi="Times New Roman" w:cs="Times New Roman"/>
          <w:spacing w:val="-1"/>
          <w:sz w:val="24"/>
          <w:szCs w:val="24"/>
        </w:rPr>
        <w:t xml:space="preserve"> </w:t>
      </w:r>
      <w:r w:rsidR="00D10655" w:rsidRPr="00D10655">
        <w:rPr>
          <w:rFonts w:ascii="Times New Roman" w:hAnsi="Times New Roman" w:cs="Times New Roman"/>
          <w:sz w:val="24"/>
          <w:szCs w:val="24"/>
        </w:rPr>
        <w:t>702</w:t>
      </w:r>
      <w:r w:rsidR="00D10655" w:rsidRPr="00D10655">
        <w:rPr>
          <w:rFonts w:ascii="Times New Roman" w:hAnsi="Times New Roman" w:cs="Times New Roman"/>
          <w:spacing w:val="-1"/>
          <w:sz w:val="24"/>
          <w:szCs w:val="24"/>
        </w:rPr>
        <w:t xml:space="preserve"> </w:t>
      </w:r>
      <w:r w:rsidR="00D10655" w:rsidRPr="00D10655">
        <w:rPr>
          <w:rFonts w:ascii="Times New Roman" w:hAnsi="Times New Roman" w:cs="Times New Roman"/>
          <w:sz w:val="24"/>
          <w:szCs w:val="24"/>
        </w:rPr>
        <w:t>is</w:t>
      </w:r>
      <w:r w:rsidR="00175229">
        <w:rPr>
          <w:rFonts w:ascii="Times New Roman" w:hAnsi="Times New Roman" w:cs="Times New Roman"/>
          <w:spacing w:val="-1"/>
          <w:sz w:val="24"/>
          <w:szCs w:val="24"/>
        </w:rPr>
        <w:t xml:space="preserve"> </w:t>
      </w:r>
      <w:r w:rsidR="00D10655" w:rsidRPr="00D10655">
        <w:rPr>
          <w:rFonts w:ascii="Times New Roman" w:hAnsi="Times New Roman" w:cs="Times New Roman"/>
          <w:sz w:val="24"/>
          <w:szCs w:val="24"/>
        </w:rPr>
        <w:t>even</w:t>
      </w:r>
      <w:r w:rsidR="00D10655" w:rsidRPr="00D10655">
        <w:rPr>
          <w:rFonts w:ascii="Times New Roman" w:hAnsi="Times New Roman" w:cs="Times New Roman"/>
          <w:spacing w:val="-1"/>
          <w:sz w:val="24"/>
          <w:szCs w:val="24"/>
        </w:rPr>
        <w:t xml:space="preserve"> </w:t>
      </w:r>
      <w:r w:rsidR="00D10655" w:rsidRPr="00D10655">
        <w:rPr>
          <w:rFonts w:ascii="Times New Roman" w:hAnsi="Times New Roman" w:cs="Times New Roman"/>
          <w:sz w:val="24"/>
          <w:szCs w:val="24"/>
        </w:rPr>
        <w:t>stronger</w:t>
      </w:r>
      <w:r w:rsidR="00D10655" w:rsidRPr="00D10655">
        <w:rPr>
          <w:rFonts w:ascii="Times New Roman" w:hAnsi="Times New Roman" w:cs="Times New Roman"/>
          <w:spacing w:val="-2"/>
          <w:sz w:val="24"/>
          <w:szCs w:val="24"/>
        </w:rPr>
        <w:t xml:space="preserve"> </w:t>
      </w:r>
      <w:r w:rsidR="00D10655" w:rsidRPr="00D10655">
        <w:rPr>
          <w:rFonts w:ascii="Times New Roman" w:hAnsi="Times New Roman" w:cs="Times New Roman"/>
          <w:sz w:val="24"/>
          <w:szCs w:val="24"/>
        </w:rPr>
        <w:t>than</w:t>
      </w:r>
      <w:r w:rsidR="00D10655" w:rsidRPr="00D10655">
        <w:rPr>
          <w:rFonts w:ascii="Times New Roman" w:hAnsi="Times New Roman" w:cs="Times New Roman"/>
          <w:spacing w:val="-1"/>
          <w:sz w:val="24"/>
          <w:szCs w:val="24"/>
        </w:rPr>
        <w:t xml:space="preserve"> </w:t>
      </w:r>
      <w:r w:rsidR="00D10655" w:rsidRPr="00D10655">
        <w:rPr>
          <w:rFonts w:ascii="Times New Roman" w:hAnsi="Times New Roman" w:cs="Times New Roman"/>
          <w:sz w:val="24"/>
          <w:szCs w:val="24"/>
        </w:rPr>
        <w:t>that</w:t>
      </w:r>
      <w:r w:rsidR="00D10655" w:rsidRPr="00D10655">
        <w:rPr>
          <w:rFonts w:ascii="Times New Roman" w:hAnsi="Times New Roman" w:cs="Times New Roman"/>
          <w:spacing w:val="-1"/>
          <w:sz w:val="24"/>
          <w:szCs w:val="24"/>
        </w:rPr>
        <w:t xml:space="preserve"> </w:t>
      </w:r>
      <w:r w:rsidR="00D10655" w:rsidRPr="00D10655">
        <w:rPr>
          <w:rFonts w:ascii="Times New Roman" w:hAnsi="Times New Roman" w:cs="Times New Roman"/>
          <w:sz w:val="24"/>
          <w:szCs w:val="24"/>
        </w:rPr>
        <w:t>contemplated</w:t>
      </w:r>
      <w:r w:rsidR="00D10655" w:rsidRPr="00D10655">
        <w:rPr>
          <w:rFonts w:ascii="Times New Roman" w:hAnsi="Times New Roman" w:cs="Times New Roman"/>
          <w:spacing w:val="-1"/>
          <w:sz w:val="24"/>
          <w:szCs w:val="24"/>
        </w:rPr>
        <w:t xml:space="preserve"> </w:t>
      </w:r>
      <w:r w:rsidR="00D10655" w:rsidRPr="00D10655">
        <w:rPr>
          <w:rFonts w:ascii="Times New Roman" w:hAnsi="Times New Roman" w:cs="Times New Roman"/>
          <w:sz w:val="24"/>
          <w:szCs w:val="24"/>
        </w:rPr>
        <w:t>by</w:t>
      </w:r>
      <w:r w:rsidR="00D10655" w:rsidRPr="00D10655">
        <w:rPr>
          <w:rFonts w:ascii="Times New Roman" w:hAnsi="Times New Roman" w:cs="Times New Roman"/>
          <w:spacing w:val="-1"/>
          <w:sz w:val="24"/>
          <w:szCs w:val="24"/>
        </w:rPr>
        <w:t xml:space="preserve"> </w:t>
      </w:r>
      <w:r w:rsidR="00D10655" w:rsidRPr="00D10655">
        <w:rPr>
          <w:rFonts w:ascii="Times New Roman" w:hAnsi="Times New Roman" w:cs="Times New Roman"/>
          <w:sz w:val="24"/>
          <w:szCs w:val="24"/>
        </w:rPr>
        <w:t>FRE 702</w:t>
      </w:r>
      <w:r w:rsidR="00D10655" w:rsidRPr="00D10655">
        <w:rPr>
          <w:rFonts w:ascii="Times New Roman" w:hAnsi="Times New Roman" w:cs="Times New Roman"/>
          <w:spacing w:val="-1"/>
          <w:sz w:val="24"/>
          <w:szCs w:val="24"/>
        </w:rPr>
        <w:t xml:space="preserve"> </w:t>
      </w:r>
      <w:r w:rsidR="00D10655" w:rsidRPr="00D10655">
        <w:rPr>
          <w:rFonts w:ascii="Times New Roman" w:hAnsi="Times New Roman" w:cs="Times New Roman"/>
          <w:sz w:val="24"/>
          <w:szCs w:val="24"/>
        </w:rPr>
        <w:t>because</w:t>
      </w:r>
      <w:r w:rsidR="00D10655" w:rsidRPr="00D10655">
        <w:rPr>
          <w:rFonts w:ascii="Times New Roman" w:hAnsi="Times New Roman" w:cs="Times New Roman"/>
          <w:spacing w:val="-2"/>
          <w:sz w:val="24"/>
          <w:szCs w:val="24"/>
        </w:rPr>
        <w:t xml:space="preserve"> </w:t>
      </w:r>
      <w:r w:rsidR="00D10655" w:rsidRPr="00D10655">
        <w:rPr>
          <w:rFonts w:ascii="Times New Roman" w:hAnsi="Times New Roman" w:cs="Times New Roman"/>
          <w:sz w:val="24"/>
          <w:szCs w:val="24"/>
        </w:rPr>
        <w:t>Michigan’s rule specifically provides that the court’s determination is a precondition to</w:t>
      </w:r>
      <w:r w:rsidR="00D10655" w:rsidRPr="00D10655">
        <w:rPr>
          <w:rFonts w:ascii="Times New Roman" w:hAnsi="Times New Roman" w:cs="Times New Roman"/>
          <w:spacing w:val="-1"/>
          <w:sz w:val="24"/>
          <w:szCs w:val="24"/>
        </w:rPr>
        <w:t xml:space="preserve"> </w:t>
      </w:r>
      <w:r w:rsidR="00D10655" w:rsidRPr="00D10655">
        <w:rPr>
          <w:rFonts w:ascii="Times New Roman" w:hAnsi="Times New Roman" w:cs="Times New Roman"/>
          <w:sz w:val="24"/>
          <w:szCs w:val="24"/>
        </w:rPr>
        <w:t>admissibility</w:t>
      </w:r>
      <w:r w:rsidR="005C0E68">
        <w:rPr>
          <w:rFonts w:ascii="Times New Roman" w:hAnsi="Times New Roman" w:cs="Times New Roman"/>
          <w:sz w:val="24"/>
          <w:szCs w:val="24"/>
        </w:rPr>
        <w:t>”</w:t>
      </w:r>
      <w:r w:rsidR="00D10655" w:rsidRPr="00D10655">
        <w:rPr>
          <w:rFonts w:ascii="Times New Roman" w:hAnsi="Times New Roman" w:cs="Times New Roman"/>
          <w:sz w:val="24"/>
          <w:szCs w:val="24"/>
        </w:rPr>
        <w:t xml:space="preserve">. </w:t>
      </w:r>
      <w:r w:rsidR="00D10655" w:rsidRPr="00D10655">
        <w:rPr>
          <w:rFonts w:ascii="Times New Roman" w:hAnsi="Times New Roman" w:cs="Times New Roman"/>
          <w:i/>
          <w:sz w:val="24"/>
          <w:szCs w:val="24"/>
        </w:rPr>
        <w:t>Gilbert</w:t>
      </w:r>
      <w:r w:rsidR="00D10655" w:rsidRPr="00D10655">
        <w:rPr>
          <w:rFonts w:ascii="Times New Roman" w:hAnsi="Times New Roman" w:cs="Times New Roman"/>
          <w:sz w:val="24"/>
          <w:szCs w:val="24"/>
        </w:rPr>
        <w:t>,</w:t>
      </w:r>
      <w:r w:rsidR="00D10655" w:rsidRPr="00D10655">
        <w:rPr>
          <w:rFonts w:ascii="Times New Roman" w:hAnsi="Times New Roman" w:cs="Times New Roman"/>
          <w:spacing w:val="-1"/>
          <w:sz w:val="24"/>
          <w:szCs w:val="24"/>
        </w:rPr>
        <w:t xml:space="preserve"> </w:t>
      </w:r>
      <w:r w:rsidR="00D10655" w:rsidRPr="00D10655">
        <w:rPr>
          <w:rFonts w:ascii="Times New Roman" w:hAnsi="Times New Roman" w:cs="Times New Roman"/>
          <w:sz w:val="24"/>
          <w:szCs w:val="24"/>
        </w:rPr>
        <w:t>470</w:t>
      </w:r>
      <w:r w:rsidR="00D10655" w:rsidRPr="00D10655">
        <w:rPr>
          <w:rFonts w:ascii="Times New Roman" w:hAnsi="Times New Roman" w:cs="Times New Roman"/>
          <w:spacing w:val="-1"/>
          <w:sz w:val="24"/>
          <w:szCs w:val="24"/>
        </w:rPr>
        <w:t xml:space="preserve"> </w:t>
      </w:r>
      <w:r w:rsidR="00D10655" w:rsidRPr="00D10655">
        <w:rPr>
          <w:rFonts w:ascii="Times New Roman" w:hAnsi="Times New Roman" w:cs="Times New Roman"/>
          <w:sz w:val="24"/>
          <w:szCs w:val="24"/>
        </w:rPr>
        <w:t xml:space="preserve">Mich </w:t>
      </w:r>
      <w:r>
        <w:rPr>
          <w:rFonts w:ascii="Times New Roman" w:hAnsi="Times New Roman" w:cs="Times New Roman"/>
          <w:sz w:val="24"/>
          <w:szCs w:val="24"/>
        </w:rPr>
        <w:t>a</w:t>
      </w:r>
      <w:r w:rsidR="00D10655" w:rsidRPr="00D10655">
        <w:rPr>
          <w:rFonts w:ascii="Times New Roman" w:hAnsi="Times New Roman" w:cs="Times New Roman"/>
          <w:sz w:val="24"/>
          <w:szCs w:val="24"/>
        </w:rPr>
        <w:t>t 780 n 46.</w:t>
      </w:r>
      <w:r w:rsidR="00175229">
        <w:rPr>
          <w:rFonts w:ascii="Times New Roman" w:hAnsi="Times New Roman" w:cs="Times New Roman"/>
          <w:sz w:val="24"/>
          <w:szCs w:val="24"/>
        </w:rPr>
        <w:t xml:space="preserve"> </w:t>
      </w:r>
      <w:r>
        <w:rPr>
          <w:rFonts w:ascii="Times New Roman" w:hAnsi="Times New Roman" w:cs="Times New Roman"/>
          <w:sz w:val="24"/>
          <w:szCs w:val="24"/>
        </w:rPr>
        <w:t>For this reason</w:t>
      </w:r>
      <w:r w:rsidR="00D10655" w:rsidRPr="00D10655">
        <w:rPr>
          <w:rFonts w:ascii="Times New Roman" w:hAnsi="Times New Roman" w:cs="Times New Roman"/>
          <w:sz w:val="24"/>
          <w:szCs w:val="24"/>
        </w:rPr>
        <w:t xml:space="preserve">, federal jurisprudence is informative of the floor </w:t>
      </w:r>
      <w:proofErr w:type="gramStart"/>
      <w:r w:rsidR="00D10655" w:rsidRPr="00D10655">
        <w:rPr>
          <w:rFonts w:ascii="Times New Roman" w:hAnsi="Times New Roman" w:cs="Times New Roman"/>
          <w:sz w:val="24"/>
          <w:szCs w:val="24"/>
        </w:rPr>
        <w:t>at</w:t>
      </w:r>
      <w:proofErr w:type="gramEnd"/>
      <w:r w:rsidR="00D10655" w:rsidRPr="00D10655">
        <w:rPr>
          <w:rFonts w:ascii="Times New Roman" w:hAnsi="Times New Roman" w:cs="Times New Roman"/>
          <w:sz w:val="24"/>
          <w:szCs w:val="24"/>
        </w:rPr>
        <w:t xml:space="preserve"> which the </w:t>
      </w:r>
      <w:r>
        <w:rPr>
          <w:rFonts w:ascii="Times New Roman" w:hAnsi="Times New Roman" w:cs="Times New Roman"/>
          <w:sz w:val="24"/>
          <w:szCs w:val="24"/>
        </w:rPr>
        <w:t>c</w:t>
      </w:r>
      <w:r w:rsidR="00D10655" w:rsidRPr="00D10655">
        <w:rPr>
          <w:rFonts w:ascii="Times New Roman" w:hAnsi="Times New Roman" w:cs="Times New Roman"/>
          <w:sz w:val="24"/>
          <w:szCs w:val="24"/>
        </w:rPr>
        <w:t>ourt must scrutinize proffer</w:t>
      </w:r>
      <w:r w:rsidR="0025499A">
        <w:rPr>
          <w:rFonts w:ascii="Times New Roman" w:hAnsi="Times New Roman" w:cs="Times New Roman"/>
          <w:sz w:val="24"/>
          <w:szCs w:val="24"/>
        </w:rPr>
        <w:t>ed</w:t>
      </w:r>
      <w:r w:rsidR="00D10655" w:rsidRPr="00D10655">
        <w:rPr>
          <w:rFonts w:ascii="Times New Roman" w:hAnsi="Times New Roman" w:cs="Times New Roman"/>
          <w:sz w:val="24"/>
          <w:szCs w:val="24"/>
        </w:rPr>
        <w:t xml:space="preserve"> expert opinion testimony, but also a reminder that the court ought </w:t>
      </w:r>
      <w:r w:rsidR="00D5180C" w:rsidRPr="00D10655">
        <w:rPr>
          <w:rFonts w:ascii="Times New Roman" w:hAnsi="Times New Roman" w:cs="Times New Roman"/>
          <w:sz w:val="24"/>
          <w:szCs w:val="24"/>
        </w:rPr>
        <w:t>to be</w:t>
      </w:r>
      <w:r w:rsidR="00D10655" w:rsidRPr="00D10655">
        <w:rPr>
          <w:rFonts w:ascii="Times New Roman" w:hAnsi="Times New Roman" w:cs="Times New Roman"/>
          <w:sz w:val="24"/>
          <w:szCs w:val="24"/>
        </w:rPr>
        <w:t xml:space="preserve"> more exacting.</w:t>
      </w:r>
    </w:p>
    <w:p w14:paraId="01E4B3C2" w14:textId="27E0F131" w:rsidR="00D10655" w:rsidRPr="00D10655" w:rsidRDefault="00D10655" w:rsidP="00175229">
      <w:pPr>
        <w:spacing w:after="0" w:line="480" w:lineRule="auto"/>
        <w:ind w:firstLine="720"/>
        <w:jc w:val="both"/>
        <w:rPr>
          <w:rFonts w:ascii="Times New Roman" w:hAnsi="Times New Roman" w:cs="Times New Roman"/>
          <w:sz w:val="24"/>
          <w:szCs w:val="24"/>
        </w:rPr>
      </w:pPr>
      <w:r w:rsidRPr="00D10655">
        <w:rPr>
          <w:rFonts w:ascii="Times New Roman" w:hAnsi="Times New Roman" w:cs="Times New Roman"/>
          <w:sz w:val="24"/>
          <w:szCs w:val="24"/>
        </w:rPr>
        <w:t>Expert opinion must be based on actual knowledge, not subjective belief or unsupported speculation.</w:t>
      </w:r>
      <w:r w:rsidRPr="00D10655">
        <w:rPr>
          <w:rFonts w:ascii="Times New Roman" w:hAnsi="Times New Roman" w:cs="Times New Roman"/>
          <w:spacing w:val="-2"/>
          <w:sz w:val="24"/>
          <w:szCs w:val="24"/>
        </w:rPr>
        <w:t xml:space="preserve"> </w:t>
      </w:r>
      <w:r w:rsidRPr="00D10655">
        <w:rPr>
          <w:rFonts w:ascii="Times New Roman" w:hAnsi="Times New Roman" w:cs="Times New Roman"/>
          <w:i/>
          <w:sz w:val="24"/>
          <w:szCs w:val="24"/>
        </w:rPr>
        <w:t>Daubert</w:t>
      </w:r>
      <w:r w:rsidRPr="00D10655">
        <w:rPr>
          <w:rFonts w:ascii="Times New Roman" w:hAnsi="Times New Roman" w:cs="Times New Roman"/>
          <w:sz w:val="24"/>
          <w:szCs w:val="24"/>
        </w:rPr>
        <w:t>, 509</w:t>
      </w:r>
      <w:r w:rsidRPr="00D10655">
        <w:rPr>
          <w:rFonts w:ascii="Times New Roman" w:hAnsi="Times New Roman" w:cs="Times New Roman"/>
          <w:spacing w:val="-2"/>
          <w:sz w:val="24"/>
          <w:szCs w:val="24"/>
        </w:rPr>
        <w:t xml:space="preserve"> </w:t>
      </w:r>
      <w:r w:rsidRPr="00D10655">
        <w:rPr>
          <w:rFonts w:ascii="Times New Roman" w:hAnsi="Times New Roman" w:cs="Times New Roman"/>
          <w:sz w:val="24"/>
          <w:szCs w:val="24"/>
        </w:rPr>
        <w:t>US</w:t>
      </w:r>
      <w:r w:rsidRPr="00D10655">
        <w:rPr>
          <w:rFonts w:ascii="Times New Roman" w:hAnsi="Times New Roman" w:cs="Times New Roman"/>
          <w:spacing w:val="-2"/>
          <w:sz w:val="24"/>
          <w:szCs w:val="24"/>
        </w:rPr>
        <w:t xml:space="preserve"> </w:t>
      </w:r>
      <w:r w:rsidRPr="00D10655">
        <w:rPr>
          <w:rFonts w:ascii="Times New Roman" w:hAnsi="Times New Roman" w:cs="Times New Roman"/>
          <w:sz w:val="24"/>
          <w:szCs w:val="24"/>
        </w:rPr>
        <w:t>at</w:t>
      </w:r>
      <w:r w:rsidRPr="00D10655">
        <w:rPr>
          <w:rFonts w:ascii="Times New Roman" w:hAnsi="Times New Roman" w:cs="Times New Roman"/>
          <w:spacing w:val="-2"/>
          <w:sz w:val="24"/>
          <w:szCs w:val="24"/>
        </w:rPr>
        <w:t xml:space="preserve"> </w:t>
      </w:r>
      <w:r w:rsidRPr="00D10655">
        <w:rPr>
          <w:rFonts w:ascii="Times New Roman" w:hAnsi="Times New Roman" w:cs="Times New Roman"/>
          <w:sz w:val="24"/>
          <w:szCs w:val="24"/>
        </w:rPr>
        <w:t>590. The</w:t>
      </w:r>
      <w:r w:rsidRPr="00D10655">
        <w:rPr>
          <w:rFonts w:ascii="Times New Roman" w:hAnsi="Times New Roman" w:cs="Times New Roman"/>
          <w:spacing w:val="-1"/>
          <w:sz w:val="24"/>
          <w:szCs w:val="24"/>
        </w:rPr>
        <w:t xml:space="preserve"> </w:t>
      </w:r>
      <w:r w:rsidRPr="00D10655">
        <w:rPr>
          <w:rFonts w:ascii="Times New Roman" w:hAnsi="Times New Roman" w:cs="Times New Roman"/>
          <w:sz w:val="24"/>
          <w:szCs w:val="24"/>
        </w:rPr>
        <w:t>Supreme</w:t>
      </w:r>
      <w:r w:rsidRPr="00D10655">
        <w:rPr>
          <w:rFonts w:ascii="Times New Roman" w:hAnsi="Times New Roman" w:cs="Times New Roman"/>
          <w:spacing w:val="-3"/>
          <w:sz w:val="24"/>
          <w:szCs w:val="24"/>
        </w:rPr>
        <w:t xml:space="preserve"> </w:t>
      </w:r>
      <w:r w:rsidRPr="00D10655">
        <w:rPr>
          <w:rFonts w:ascii="Times New Roman" w:hAnsi="Times New Roman" w:cs="Times New Roman"/>
          <w:sz w:val="24"/>
          <w:szCs w:val="24"/>
        </w:rPr>
        <w:t>Court</w:t>
      </w:r>
      <w:r w:rsidRPr="00D10655">
        <w:rPr>
          <w:rFonts w:ascii="Times New Roman" w:hAnsi="Times New Roman" w:cs="Times New Roman"/>
          <w:spacing w:val="-2"/>
          <w:sz w:val="24"/>
          <w:szCs w:val="24"/>
        </w:rPr>
        <w:t xml:space="preserve"> </w:t>
      </w:r>
      <w:r w:rsidRPr="00D10655">
        <w:rPr>
          <w:rFonts w:ascii="Times New Roman" w:hAnsi="Times New Roman" w:cs="Times New Roman"/>
          <w:sz w:val="24"/>
          <w:szCs w:val="24"/>
        </w:rPr>
        <w:t xml:space="preserve">in </w:t>
      </w:r>
      <w:r w:rsidRPr="00D10655">
        <w:rPr>
          <w:rFonts w:ascii="Times New Roman" w:hAnsi="Times New Roman" w:cs="Times New Roman"/>
          <w:i/>
          <w:sz w:val="24"/>
          <w:szCs w:val="24"/>
        </w:rPr>
        <w:t>Daubert</w:t>
      </w:r>
      <w:r w:rsidRPr="00D10655">
        <w:rPr>
          <w:rFonts w:ascii="Times New Roman" w:hAnsi="Times New Roman" w:cs="Times New Roman"/>
          <w:i/>
          <w:spacing w:val="-2"/>
          <w:sz w:val="24"/>
          <w:szCs w:val="24"/>
        </w:rPr>
        <w:t xml:space="preserve"> </w:t>
      </w:r>
      <w:r w:rsidRPr="00D10655">
        <w:rPr>
          <w:rFonts w:ascii="Times New Roman" w:hAnsi="Times New Roman" w:cs="Times New Roman"/>
          <w:sz w:val="24"/>
          <w:szCs w:val="24"/>
        </w:rPr>
        <w:t>set</w:t>
      </w:r>
      <w:r w:rsidRPr="00D10655">
        <w:rPr>
          <w:rFonts w:ascii="Times New Roman" w:hAnsi="Times New Roman" w:cs="Times New Roman"/>
          <w:spacing w:val="-2"/>
          <w:sz w:val="24"/>
          <w:szCs w:val="24"/>
        </w:rPr>
        <w:t xml:space="preserve"> </w:t>
      </w:r>
      <w:r w:rsidRPr="00D10655">
        <w:rPr>
          <w:rFonts w:ascii="Times New Roman" w:hAnsi="Times New Roman" w:cs="Times New Roman"/>
          <w:sz w:val="24"/>
          <w:szCs w:val="24"/>
        </w:rPr>
        <w:t>forth</w:t>
      </w:r>
      <w:r w:rsidRPr="00D10655">
        <w:rPr>
          <w:rFonts w:ascii="Times New Roman" w:hAnsi="Times New Roman" w:cs="Times New Roman"/>
          <w:spacing w:val="-3"/>
          <w:sz w:val="24"/>
          <w:szCs w:val="24"/>
        </w:rPr>
        <w:t xml:space="preserve"> </w:t>
      </w:r>
      <w:r w:rsidRPr="00D10655">
        <w:rPr>
          <w:rFonts w:ascii="Times New Roman" w:hAnsi="Times New Roman" w:cs="Times New Roman"/>
          <w:sz w:val="24"/>
          <w:szCs w:val="24"/>
        </w:rPr>
        <w:t>factors</w:t>
      </w:r>
      <w:r w:rsidRPr="00D10655">
        <w:rPr>
          <w:rFonts w:ascii="Times New Roman" w:hAnsi="Times New Roman" w:cs="Times New Roman"/>
          <w:spacing w:val="-2"/>
          <w:sz w:val="24"/>
          <w:szCs w:val="24"/>
        </w:rPr>
        <w:t xml:space="preserve"> </w:t>
      </w:r>
      <w:r w:rsidRPr="00D10655">
        <w:rPr>
          <w:rFonts w:ascii="Times New Roman" w:hAnsi="Times New Roman" w:cs="Times New Roman"/>
          <w:sz w:val="24"/>
          <w:szCs w:val="24"/>
        </w:rPr>
        <w:t>for</w:t>
      </w:r>
      <w:r w:rsidRPr="00D10655">
        <w:rPr>
          <w:rFonts w:ascii="Times New Roman" w:hAnsi="Times New Roman" w:cs="Times New Roman"/>
          <w:spacing w:val="-1"/>
          <w:sz w:val="24"/>
          <w:szCs w:val="24"/>
        </w:rPr>
        <w:t xml:space="preserve"> </w:t>
      </w:r>
      <w:r w:rsidRPr="00D10655">
        <w:rPr>
          <w:rFonts w:ascii="Times New Roman" w:hAnsi="Times New Roman" w:cs="Times New Roman"/>
          <w:sz w:val="24"/>
          <w:szCs w:val="24"/>
        </w:rPr>
        <w:t>a</w:t>
      </w:r>
      <w:r w:rsidRPr="00D10655">
        <w:rPr>
          <w:rFonts w:ascii="Times New Roman" w:hAnsi="Times New Roman" w:cs="Times New Roman"/>
          <w:spacing w:val="-1"/>
          <w:sz w:val="24"/>
          <w:szCs w:val="24"/>
        </w:rPr>
        <w:t xml:space="preserve"> </w:t>
      </w:r>
      <w:r w:rsidRPr="00D10655">
        <w:rPr>
          <w:rFonts w:ascii="Times New Roman" w:hAnsi="Times New Roman" w:cs="Times New Roman"/>
          <w:sz w:val="24"/>
          <w:szCs w:val="24"/>
        </w:rPr>
        <w:t>court to evaluate in determining the admissibility of scientific or expert testimony:</w:t>
      </w:r>
    </w:p>
    <w:p w14:paraId="21181DE5" w14:textId="068B1580" w:rsidR="00D10655" w:rsidRPr="00D10655" w:rsidRDefault="00D10655" w:rsidP="005C0E68">
      <w:pPr>
        <w:pStyle w:val="ListParagraph"/>
        <w:numPr>
          <w:ilvl w:val="0"/>
          <w:numId w:val="9"/>
        </w:numPr>
        <w:spacing w:after="120" w:line="240" w:lineRule="auto"/>
        <w:contextualSpacing w:val="0"/>
        <w:jc w:val="both"/>
        <w:rPr>
          <w:rFonts w:ascii="Times New Roman" w:hAnsi="Times New Roman" w:cs="Times New Roman"/>
          <w:sz w:val="24"/>
          <w:szCs w:val="24"/>
        </w:rPr>
      </w:pPr>
      <w:r w:rsidRPr="00D10655">
        <w:rPr>
          <w:rFonts w:ascii="Times New Roman" w:hAnsi="Times New Roman" w:cs="Times New Roman"/>
          <w:sz w:val="24"/>
          <w:szCs w:val="24"/>
        </w:rPr>
        <w:t>whether</w:t>
      </w:r>
      <w:r w:rsidRPr="00D10655">
        <w:rPr>
          <w:rFonts w:ascii="Times New Roman" w:hAnsi="Times New Roman" w:cs="Times New Roman"/>
          <w:spacing w:val="-4"/>
          <w:sz w:val="24"/>
          <w:szCs w:val="24"/>
        </w:rPr>
        <w:t xml:space="preserve"> </w:t>
      </w:r>
      <w:r w:rsidRPr="00D10655">
        <w:rPr>
          <w:rFonts w:ascii="Times New Roman" w:hAnsi="Times New Roman" w:cs="Times New Roman"/>
          <w:sz w:val="24"/>
          <w:szCs w:val="24"/>
        </w:rPr>
        <w:t>the</w:t>
      </w:r>
      <w:r w:rsidRPr="00D10655">
        <w:rPr>
          <w:rFonts w:ascii="Times New Roman" w:hAnsi="Times New Roman" w:cs="Times New Roman"/>
          <w:spacing w:val="-2"/>
          <w:sz w:val="24"/>
          <w:szCs w:val="24"/>
        </w:rPr>
        <w:t xml:space="preserve"> </w:t>
      </w:r>
      <w:r w:rsidRPr="00D10655">
        <w:rPr>
          <w:rFonts w:ascii="Times New Roman" w:hAnsi="Times New Roman" w:cs="Times New Roman"/>
          <w:sz w:val="24"/>
          <w:szCs w:val="24"/>
        </w:rPr>
        <w:t>expert’s</w:t>
      </w:r>
      <w:r w:rsidRPr="00D10655">
        <w:rPr>
          <w:rFonts w:ascii="Times New Roman" w:hAnsi="Times New Roman" w:cs="Times New Roman"/>
          <w:spacing w:val="1"/>
          <w:sz w:val="24"/>
          <w:szCs w:val="24"/>
        </w:rPr>
        <w:t xml:space="preserve"> </w:t>
      </w:r>
      <w:r w:rsidRPr="00D10655">
        <w:rPr>
          <w:rFonts w:ascii="Times New Roman" w:hAnsi="Times New Roman" w:cs="Times New Roman"/>
          <w:sz w:val="24"/>
          <w:szCs w:val="24"/>
        </w:rPr>
        <w:t>theory</w:t>
      </w:r>
      <w:r w:rsidRPr="00D10655">
        <w:rPr>
          <w:rFonts w:ascii="Times New Roman" w:hAnsi="Times New Roman" w:cs="Times New Roman"/>
          <w:spacing w:val="-1"/>
          <w:sz w:val="24"/>
          <w:szCs w:val="24"/>
        </w:rPr>
        <w:t xml:space="preserve"> </w:t>
      </w:r>
      <w:r w:rsidRPr="00D10655">
        <w:rPr>
          <w:rFonts w:ascii="Times New Roman" w:hAnsi="Times New Roman" w:cs="Times New Roman"/>
          <w:sz w:val="24"/>
          <w:szCs w:val="24"/>
        </w:rPr>
        <w:t>or</w:t>
      </w:r>
      <w:r w:rsidRPr="00D10655">
        <w:rPr>
          <w:rFonts w:ascii="Times New Roman" w:hAnsi="Times New Roman" w:cs="Times New Roman"/>
          <w:spacing w:val="-2"/>
          <w:sz w:val="24"/>
          <w:szCs w:val="24"/>
        </w:rPr>
        <w:t xml:space="preserve"> </w:t>
      </w:r>
      <w:r w:rsidRPr="00D10655">
        <w:rPr>
          <w:rFonts w:ascii="Times New Roman" w:hAnsi="Times New Roman" w:cs="Times New Roman"/>
          <w:sz w:val="24"/>
          <w:szCs w:val="24"/>
        </w:rPr>
        <w:t>technique</w:t>
      </w:r>
      <w:r w:rsidRPr="00D10655">
        <w:rPr>
          <w:rFonts w:ascii="Times New Roman" w:hAnsi="Times New Roman" w:cs="Times New Roman"/>
          <w:spacing w:val="-2"/>
          <w:sz w:val="24"/>
          <w:szCs w:val="24"/>
        </w:rPr>
        <w:t xml:space="preserve"> </w:t>
      </w:r>
      <w:r w:rsidRPr="00D10655">
        <w:rPr>
          <w:rFonts w:ascii="Times New Roman" w:hAnsi="Times New Roman" w:cs="Times New Roman"/>
          <w:sz w:val="24"/>
          <w:szCs w:val="24"/>
        </w:rPr>
        <w:t>can, or</w:t>
      </w:r>
      <w:r w:rsidRPr="00D10655">
        <w:rPr>
          <w:rFonts w:ascii="Times New Roman" w:hAnsi="Times New Roman" w:cs="Times New Roman"/>
          <w:spacing w:val="-1"/>
          <w:sz w:val="24"/>
          <w:szCs w:val="24"/>
        </w:rPr>
        <w:t xml:space="preserve"> </w:t>
      </w:r>
      <w:r w:rsidRPr="00D10655">
        <w:rPr>
          <w:rFonts w:ascii="Times New Roman" w:hAnsi="Times New Roman" w:cs="Times New Roman"/>
          <w:sz w:val="24"/>
          <w:szCs w:val="24"/>
        </w:rPr>
        <w:t>has</w:t>
      </w:r>
      <w:r w:rsidRPr="00D10655">
        <w:rPr>
          <w:rFonts w:ascii="Times New Roman" w:hAnsi="Times New Roman" w:cs="Times New Roman"/>
          <w:spacing w:val="-1"/>
          <w:sz w:val="24"/>
          <w:szCs w:val="24"/>
        </w:rPr>
        <w:t xml:space="preserve"> </w:t>
      </w:r>
      <w:r w:rsidRPr="00D10655">
        <w:rPr>
          <w:rFonts w:ascii="Times New Roman" w:hAnsi="Times New Roman" w:cs="Times New Roman"/>
          <w:sz w:val="24"/>
          <w:szCs w:val="24"/>
        </w:rPr>
        <w:t>been,</w:t>
      </w:r>
      <w:r w:rsidRPr="00D10655">
        <w:rPr>
          <w:rFonts w:ascii="Times New Roman" w:hAnsi="Times New Roman" w:cs="Times New Roman"/>
          <w:spacing w:val="-1"/>
          <w:sz w:val="24"/>
          <w:szCs w:val="24"/>
        </w:rPr>
        <w:t xml:space="preserve"> </w:t>
      </w:r>
      <w:proofErr w:type="gramStart"/>
      <w:r w:rsidRPr="00D10655">
        <w:rPr>
          <w:rFonts w:ascii="Times New Roman" w:hAnsi="Times New Roman" w:cs="Times New Roman"/>
          <w:spacing w:val="-2"/>
          <w:sz w:val="24"/>
          <w:szCs w:val="24"/>
        </w:rPr>
        <w:t>tested;</w:t>
      </w:r>
      <w:proofErr w:type="gramEnd"/>
    </w:p>
    <w:p w14:paraId="4115EE4D" w14:textId="01780152" w:rsidR="00D10655" w:rsidRPr="00D10655" w:rsidRDefault="00D10655" w:rsidP="005C0E68">
      <w:pPr>
        <w:pStyle w:val="ListParagraph"/>
        <w:numPr>
          <w:ilvl w:val="0"/>
          <w:numId w:val="9"/>
        </w:numPr>
        <w:spacing w:after="120" w:line="240" w:lineRule="auto"/>
        <w:contextualSpacing w:val="0"/>
        <w:jc w:val="both"/>
        <w:rPr>
          <w:rFonts w:ascii="Times New Roman" w:hAnsi="Times New Roman" w:cs="Times New Roman"/>
          <w:sz w:val="24"/>
          <w:szCs w:val="24"/>
        </w:rPr>
      </w:pPr>
      <w:r w:rsidRPr="00D10655">
        <w:rPr>
          <w:rFonts w:ascii="Times New Roman" w:hAnsi="Times New Roman" w:cs="Times New Roman"/>
          <w:sz w:val="24"/>
          <w:szCs w:val="24"/>
        </w:rPr>
        <w:t xml:space="preserve">whether the theory or technique has been subjected to peer review and </w:t>
      </w:r>
      <w:proofErr w:type="gramStart"/>
      <w:r w:rsidRPr="00D10655">
        <w:rPr>
          <w:rFonts w:ascii="Times New Roman" w:hAnsi="Times New Roman" w:cs="Times New Roman"/>
          <w:sz w:val="24"/>
          <w:szCs w:val="24"/>
        </w:rPr>
        <w:t>publication;</w:t>
      </w:r>
      <w:proofErr w:type="gramEnd"/>
    </w:p>
    <w:p w14:paraId="2949C1E2" w14:textId="50986414" w:rsidR="00D10655" w:rsidRPr="00D10655" w:rsidRDefault="00D10655" w:rsidP="005C0E68">
      <w:pPr>
        <w:pStyle w:val="ListParagraph"/>
        <w:numPr>
          <w:ilvl w:val="0"/>
          <w:numId w:val="9"/>
        </w:numPr>
        <w:spacing w:after="120" w:line="240" w:lineRule="auto"/>
        <w:contextualSpacing w:val="0"/>
        <w:jc w:val="both"/>
        <w:rPr>
          <w:rFonts w:ascii="Times New Roman" w:hAnsi="Times New Roman" w:cs="Times New Roman"/>
          <w:sz w:val="24"/>
          <w:szCs w:val="24"/>
        </w:rPr>
      </w:pPr>
      <w:r w:rsidRPr="00D10655">
        <w:rPr>
          <w:rFonts w:ascii="Times New Roman" w:hAnsi="Times New Roman" w:cs="Times New Roman"/>
          <w:sz w:val="24"/>
          <w:szCs w:val="24"/>
        </w:rPr>
        <w:t xml:space="preserve">the known or potential rate of error of the technique for a particular scientific technique and the existence and maintenance of standards controlling the technique’s operation; and </w:t>
      </w:r>
    </w:p>
    <w:p w14:paraId="3057ECE9" w14:textId="39421D55" w:rsidR="00D10655" w:rsidRPr="00D10655" w:rsidRDefault="00D10655" w:rsidP="005C0E68">
      <w:pPr>
        <w:pStyle w:val="ListParagraph"/>
        <w:numPr>
          <w:ilvl w:val="0"/>
          <w:numId w:val="9"/>
        </w:numPr>
        <w:spacing w:after="240" w:line="240" w:lineRule="auto"/>
        <w:contextualSpacing w:val="0"/>
        <w:jc w:val="both"/>
        <w:rPr>
          <w:rFonts w:ascii="Times New Roman" w:hAnsi="Times New Roman" w:cs="Times New Roman"/>
          <w:sz w:val="24"/>
          <w:szCs w:val="24"/>
        </w:rPr>
      </w:pPr>
      <w:r w:rsidRPr="00D10655">
        <w:rPr>
          <w:rFonts w:ascii="Times New Roman" w:hAnsi="Times New Roman" w:cs="Times New Roman"/>
          <w:sz w:val="24"/>
          <w:szCs w:val="24"/>
        </w:rPr>
        <w:t xml:space="preserve">whether the theory or technique is generally accepted in the relevant scientific community. </w:t>
      </w:r>
    </w:p>
    <w:p w14:paraId="3289F467" w14:textId="1AEAD0BB" w:rsidR="00AA5BBE" w:rsidRDefault="00CE02CA" w:rsidP="00CE02CA">
      <w:pPr>
        <w:spacing w:after="0" w:line="480" w:lineRule="auto"/>
        <w:jc w:val="both"/>
        <w:rPr>
          <w:rFonts w:ascii="Times New Roman" w:hAnsi="Times New Roman" w:cs="Times New Roman"/>
          <w:spacing w:val="-5"/>
          <w:sz w:val="24"/>
          <w:szCs w:val="24"/>
        </w:rPr>
      </w:pPr>
      <w:r>
        <w:rPr>
          <w:rFonts w:ascii="Times New Roman" w:hAnsi="Times New Roman" w:cs="Times New Roman"/>
          <w:i/>
          <w:iCs/>
          <w:sz w:val="24"/>
          <w:szCs w:val="24"/>
        </w:rPr>
        <w:t>Id.</w:t>
      </w:r>
      <w:r w:rsidR="00D10655" w:rsidRPr="00D10655">
        <w:rPr>
          <w:rFonts w:ascii="Times New Roman" w:hAnsi="Times New Roman" w:cs="Times New Roman"/>
          <w:sz w:val="24"/>
          <w:szCs w:val="24"/>
        </w:rPr>
        <w:t xml:space="preserve"> at 593-94. However, no single factor</w:t>
      </w:r>
      <w:r w:rsidR="00D10655" w:rsidRPr="00D10655">
        <w:rPr>
          <w:rFonts w:ascii="Times New Roman" w:hAnsi="Times New Roman" w:cs="Times New Roman"/>
          <w:spacing w:val="-1"/>
          <w:sz w:val="24"/>
          <w:szCs w:val="24"/>
        </w:rPr>
        <w:t xml:space="preserve"> </w:t>
      </w:r>
      <w:r w:rsidR="00D10655" w:rsidRPr="00D10655">
        <w:rPr>
          <w:rFonts w:ascii="Times New Roman" w:hAnsi="Times New Roman" w:cs="Times New Roman"/>
          <w:sz w:val="24"/>
          <w:szCs w:val="24"/>
        </w:rPr>
        <w:t>alone</w:t>
      </w:r>
      <w:r w:rsidR="00D10655" w:rsidRPr="00D10655">
        <w:rPr>
          <w:rFonts w:ascii="Times New Roman" w:hAnsi="Times New Roman" w:cs="Times New Roman"/>
          <w:spacing w:val="-1"/>
          <w:sz w:val="24"/>
          <w:szCs w:val="24"/>
        </w:rPr>
        <w:t xml:space="preserve"> </w:t>
      </w:r>
      <w:r w:rsidR="00D10655" w:rsidRPr="00D10655">
        <w:rPr>
          <w:rFonts w:ascii="Times New Roman" w:hAnsi="Times New Roman" w:cs="Times New Roman"/>
          <w:sz w:val="24"/>
          <w:szCs w:val="24"/>
        </w:rPr>
        <w:t xml:space="preserve">is necessarily dispositive, and other factors may be relevant. </w:t>
      </w:r>
      <w:r w:rsidR="00D10655" w:rsidRPr="00D10655">
        <w:rPr>
          <w:rFonts w:ascii="Times New Roman" w:hAnsi="Times New Roman" w:cs="Times New Roman"/>
          <w:i/>
          <w:sz w:val="24"/>
          <w:szCs w:val="24"/>
        </w:rPr>
        <w:t xml:space="preserve">See </w:t>
      </w:r>
      <w:r w:rsidR="007476AB">
        <w:rPr>
          <w:rFonts w:ascii="Times New Roman" w:hAnsi="Times New Roman" w:cs="Times New Roman"/>
          <w:i/>
          <w:sz w:val="24"/>
          <w:szCs w:val="24"/>
        </w:rPr>
        <w:t>I</w:t>
      </w:r>
      <w:r w:rsidR="00D10655" w:rsidRPr="00D10655">
        <w:rPr>
          <w:rFonts w:ascii="Times New Roman" w:hAnsi="Times New Roman" w:cs="Times New Roman"/>
          <w:i/>
          <w:sz w:val="24"/>
          <w:szCs w:val="24"/>
        </w:rPr>
        <w:t>d.</w:t>
      </w:r>
      <w:r w:rsidR="00D10655" w:rsidRPr="00D10655">
        <w:rPr>
          <w:rFonts w:ascii="Times New Roman" w:hAnsi="Times New Roman" w:cs="Times New Roman"/>
          <w:i/>
          <w:spacing w:val="-5"/>
          <w:sz w:val="24"/>
          <w:szCs w:val="24"/>
        </w:rPr>
        <w:t xml:space="preserve"> </w:t>
      </w:r>
      <w:r w:rsidR="00D10655" w:rsidRPr="00D10655">
        <w:rPr>
          <w:rFonts w:ascii="Times New Roman" w:hAnsi="Times New Roman" w:cs="Times New Roman"/>
          <w:sz w:val="24"/>
          <w:szCs w:val="24"/>
        </w:rPr>
        <w:t>at</w:t>
      </w:r>
      <w:r w:rsidR="00D10655" w:rsidRPr="00D10655">
        <w:rPr>
          <w:rFonts w:ascii="Times New Roman" w:hAnsi="Times New Roman" w:cs="Times New Roman"/>
          <w:spacing w:val="-4"/>
          <w:sz w:val="24"/>
          <w:szCs w:val="24"/>
        </w:rPr>
        <w:t xml:space="preserve"> </w:t>
      </w:r>
      <w:r w:rsidR="00D10655" w:rsidRPr="00D10655">
        <w:rPr>
          <w:rFonts w:ascii="Times New Roman" w:hAnsi="Times New Roman" w:cs="Times New Roman"/>
          <w:sz w:val="24"/>
          <w:szCs w:val="24"/>
        </w:rPr>
        <w:t>593;</w:t>
      </w:r>
      <w:r w:rsidR="00D10655" w:rsidRPr="00D10655">
        <w:rPr>
          <w:rFonts w:ascii="Times New Roman" w:hAnsi="Times New Roman" w:cs="Times New Roman"/>
          <w:spacing w:val="-4"/>
          <w:sz w:val="24"/>
          <w:szCs w:val="24"/>
        </w:rPr>
        <w:t xml:space="preserve"> </w:t>
      </w:r>
      <w:r w:rsidR="00D10655" w:rsidRPr="00D10655">
        <w:rPr>
          <w:rFonts w:ascii="Times New Roman" w:hAnsi="Times New Roman" w:cs="Times New Roman"/>
          <w:i/>
          <w:sz w:val="24"/>
          <w:szCs w:val="24"/>
        </w:rPr>
        <w:t>see</w:t>
      </w:r>
      <w:r w:rsidR="00D10655" w:rsidRPr="00D10655">
        <w:rPr>
          <w:rFonts w:ascii="Times New Roman" w:hAnsi="Times New Roman" w:cs="Times New Roman"/>
          <w:i/>
          <w:spacing w:val="-6"/>
          <w:sz w:val="24"/>
          <w:szCs w:val="24"/>
        </w:rPr>
        <w:t xml:space="preserve"> </w:t>
      </w:r>
      <w:r w:rsidR="00D10655" w:rsidRPr="00D10655">
        <w:rPr>
          <w:rFonts w:ascii="Times New Roman" w:hAnsi="Times New Roman" w:cs="Times New Roman"/>
          <w:i/>
          <w:sz w:val="24"/>
          <w:szCs w:val="24"/>
        </w:rPr>
        <w:t>also</w:t>
      </w:r>
      <w:r w:rsidR="00D10655" w:rsidRPr="00D10655">
        <w:rPr>
          <w:rFonts w:ascii="Times New Roman" w:hAnsi="Times New Roman" w:cs="Times New Roman"/>
          <w:i/>
          <w:spacing w:val="-5"/>
          <w:sz w:val="24"/>
          <w:szCs w:val="24"/>
        </w:rPr>
        <w:t xml:space="preserve"> </w:t>
      </w:r>
      <w:r w:rsidR="00D10655" w:rsidRPr="00D10655">
        <w:rPr>
          <w:rFonts w:ascii="Times New Roman" w:hAnsi="Times New Roman" w:cs="Times New Roman"/>
          <w:i/>
          <w:sz w:val="24"/>
          <w:szCs w:val="24"/>
        </w:rPr>
        <w:t>Kumho</w:t>
      </w:r>
      <w:r w:rsidR="00D10655" w:rsidRPr="00D10655">
        <w:rPr>
          <w:rFonts w:ascii="Times New Roman" w:hAnsi="Times New Roman" w:cs="Times New Roman"/>
          <w:i/>
          <w:spacing w:val="-5"/>
          <w:sz w:val="24"/>
          <w:szCs w:val="24"/>
        </w:rPr>
        <w:t xml:space="preserve"> </w:t>
      </w:r>
      <w:r w:rsidR="00D10655" w:rsidRPr="00D10655">
        <w:rPr>
          <w:rFonts w:ascii="Times New Roman" w:hAnsi="Times New Roman" w:cs="Times New Roman"/>
          <w:i/>
          <w:sz w:val="24"/>
          <w:szCs w:val="24"/>
        </w:rPr>
        <w:t>Tire,</w:t>
      </w:r>
      <w:r w:rsidR="00D10655" w:rsidRPr="00D10655">
        <w:rPr>
          <w:rFonts w:ascii="Times New Roman" w:hAnsi="Times New Roman" w:cs="Times New Roman"/>
          <w:i/>
          <w:spacing w:val="-5"/>
          <w:sz w:val="24"/>
          <w:szCs w:val="24"/>
        </w:rPr>
        <w:t xml:space="preserve"> </w:t>
      </w:r>
      <w:r w:rsidR="00D10655" w:rsidRPr="00D10655">
        <w:rPr>
          <w:rFonts w:ascii="Times New Roman" w:hAnsi="Times New Roman" w:cs="Times New Roman"/>
          <w:i/>
          <w:sz w:val="24"/>
          <w:szCs w:val="24"/>
        </w:rPr>
        <w:t>supra</w:t>
      </w:r>
      <w:r w:rsidR="00D10655" w:rsidRPr="00D10655">
        <w:rPr>
          <w:rFonts w:ascii="Times New Roman" w:hAnsi="Times New Roman" w:cs="Times New Roman"/>
          <w:sz w:val="24"/>
          <w:szCs w:val="24"/>
        </w:rPr>
        <w:t>,</w:t>
      </w:r>
      <w:r w:rsidR="00D10655" w:rsidRPr="00D10655">
        <w:rPr>
          <w:rFonts w:ascii="Times New Roman" w:hAnsi="Times New Roman" w:cs="Times New Roman"/>
          <w:spacing w:val="-5"/>
          <w:sz w:val="24"/>
          <w:szCs w:val="24"/>
        </w:rPr>
        <w:t xml:space="preserve"> </w:t>
      </w:r>
      <w:r w:rsidR="00D10655" w:rsidRPr="00D10655">
        <w:rPr>
          <w:rFonts w:ascii="Times New Roman" w:hAnsi="Times New Roman" w:cs="Times New Roman"/>
          <w:sz w:val="24"/>
          <w:szCs w:val="24"/>
        </w:rPr>
        <w:t>526</w:t>
      </w:r>
      <w:r w:rsidR="00D10655" w:rsidRPr="00D10655">
        <w:rPr>
          <w:rFonts w:ascii="Times New Roman" w:hAnsi="Times New Roman" w:cs="Times New Roman"/>
          <w:spacing w:val="-2"/>
          <w:sz w:val="24"/>
          <w:szCs w:val="24"/>
        </w:rPr>
        <w:t xml:space="preserve"> </w:t>
      </w:r>
      <w:r w:rsidR="00D10655" w:rsidRPr="00D10655">
        <w:rPr>
          <w:rFonts w:ascii="Times New Roman" w:hAnsi="Times New Roman" w:cs="Times New Roman"/>
          <w:sz w:val="24"/>
          <w:szCs w:val="24"/>
        </w:rPr>
        <w:t>US</w:t>
      </w:r>
      <w:r w:rsidR="00D10655" w:rsidRPr="00D10655">
        <w:rPr>
          <w:rFonts w:ascii="Times New Roman" w:hAnsi="Times New Roman" w:cs="Times New Roman"/>
          <w:spacing w:val="-5"/>
          <w:sz w:val="24"/>
          <w:szCs w:val="24"/>
        </w:rPr>
        <w:t xml:space="preserve"> </w:t>
      </w:r>
      <w:r w:rsidR="00D10655" w:rsidRPr="00D10655">
        <w:rPr>
          <w:rFonts w:ascii="Times New Roman" w:hAnsi="Times New Roman" w:cs="Times New Roman"/>
          <w:sz w:val="24"/>
          <w:szCs w:val="24"/>
        </w:rPr>
        <w:t>at</w:t>
      </w:r>
      <w:r w:rsidR="00D10655" w:rsidRPr="00D10655">
        <w:rPr>
          <w:rFonts w:ascii="Times New Roman" w:hAnsi="Times New Roman" w:cs="Times New Roman"/>
          <w:spacing w:val="-2"/>
          <w:sz w:val="24"/>
          <w:szCs w:val="24"/>
        </w:rPr>
        <w:t xml:space="preserve"> </w:t>
      </w:r>
      <w:r w:rsidR="00D10655" w:rsidRPr="00D10655">
        <w:rPr>
          <w:rFonts w:ascii="Times New Roman" w:hAnsi="Times New Roman" w:cs="Times New Roman"/>
          <w:sz w:val="24"/>
          <w:szCs w:val="24"/>
        </w:rPr>
        <w:t>149.</w:t>
      </w:r>
      <w:r w:rsidR="00D10655" w:rsidRPr="00D10655">
        <w:rPr>
          <w:rFonts w:ascii="Times New Roman" w:hAnsi="Times New Roman" w:cs="Times New Roman"/>
          <w:spacing w:val="-5"/>
          <w:sz w:val="24"/>
          <w:szCs w:val="24"/>
        </w:rPr>
        <w:t xml:space="preserve"> </w:t>
      </w:r>
    </w:p>
    <w:p w14:paraId="220B5841" w14:textId="4DA7635F" w:rsidR="00D10655" w:rsidRPr="00D10655" w:rsidRDefault="00D10655" w:rsidP="00AA5BBE">
      <w:pPr>
        <w:spacing w:after="0" w:line="480" w:lineRule="auto"/>
        <w:ind w:firstLine="720"/>
        <w:jc w:val="both"/>
        <w:rPr>
          <w:rFonts w:ascii="Times New Roman" w:hAnsi="Times New Roman" w:cs="Times New Roman"/>
          <w:sz w:val="24"/>
          <w:szCs w:val="24"/>
        </w:rPr>
      </w:pPr>
      <w:r w:rsidRPr="00D10655">
        <w:rPr>
          <w:rFonts w:ascii="Times New Roman" w:hAnsi="Times New Roman" w:cs="Times New Roman"/>
          <w:sz w:val="24"/>
          <w:szCs w:val="24"/>
        </w:rPr>
        <w:t>The</w:t>
      </w:r>
      <w:r w:rsidRPr="00D10655">
        <w:rPr>
          <w:rFonts w:ascii="Times New Roman" w:hAnsi="Times New Roman" w:cs="Times New Roman"/>
          <w:spacing w:val="-3"/>
          <w:sz w:val="24"/>
          <w:szCs w:val="24"/>
        </w:rPr>
        <w:t xml:space="preserve"> </w:t>
      </w:r>
      <w:r w:rsidRPr="00D10655">
        <w:rPr>
          <w:rFonts w:ascii="Times New Roman" w:hAnsi="Times New Roman" w:cs="Times New Roman"/>
          <w:sz w:val="24"/>
          <w:szCs w:val="24"/>
        </w:rPr>
        <w:t>Court</w:t>
      </w:r>
      <w:r w:rsidRPr="00D10655">
        <w:rPr>
          <w:rFonts w:ascii="Times New Roman" w:hAnsi="Times New Roman" w:cs="Times New Roman"/>
          <w:spacing w:val="-4"/>
          <w:sz w:val="24"/>
          <w:szCs w:val="24"/>
        </w:rPr>
        <w:t xml:space="preserve"> </w:t>
      </w:r>
      <w:r w:rsidRPr="00D10655">
        <w:rPr>
          <w:rFonts w:ascii="Times New Roman" w:hAnsi="Times New Roman" w:cs="Times New Roman"/>
          <w:sz w:val="24"/>
          <w:szCs w:val="24"/>
        </w:rPr>
        <w:t>observed</w:t>
      </w:r>
      <w:r w:rsidRPr="00D10655">
        <w:rPr>
          <w:rFonts w:ascii="Times New Roman" w:hAnsi="Times New Roman" w:cs="Times New Roman"/>
          <w:spacing w:val="-2"/>
          <w:sz w:val="24"/>
          <w:szCs w:val="24"/>
        </w:rPr>
        <w:t xml:space="preserve"> </w:t>
      </w:r>
      <w:r w:rsidRPr="00D10655">
        <w:rPr>
          <w:rFonts w:ascii="Times New Roman" w:hAnsi="Times New Roman" w:cs="Times New Roman"/>
          <w:sz w:val="24"/>
          <w:szCs w:val="24"/>
        </w:rPr>
        <w:t>that</w:t>
      </w:r>
      <w:r w:rsidRPr="00D10655">
        <w:rPr>
          <w:rFonts w:ascii="Times New Roman" w:hAnsi="Times New Roman" w:cs="Times New Roman"/>
          <w:spacing w:val="-4"/>
          <w:sz w:val="24"/>
          <w:szCs w:val="24"/>
        </w:rPr>
        <w:t xml:space="preserve"> </w:t>
      </w:r>
      <w:r w:rsidRPr="00D10655">
        <w:rPr>
          <w:rFonts w:ascii="Times New Roman" w:hAnsi="Times New Roman" w:cs="Times New Roman"/>
          <w:sz w:val="24"/>
          <w:szCs w:val="24"/>
        </w:rPr>
        <w:t>scrutiny</w:t>
      </w:r>
      <w:r w:rsidRPr="00D10655">
        <w:rPr>
          <w:rFonts w:ascii="Times New Roman" w:hAnsi="Times New Roman" w:cs="Times New Roman"/>
          <w:spacing w:val="-5"/>
          <w:sz w:val="24"/>
          <w:szCs w:val="24"/>
        </w:rPr>
        <w:t xml:space="preserve"> </w:t>
      </w:r>
      <w:r w:rsidRPr="00D10655">
        <w:rPr>
          <w:rFonts w:ascii="Times New Roman" w:hAnsi="Times New Roman" w:cs="Times New Roman"/>
          <w:sz w:val="24"/>
          <w:szCs w:val="24"/>
        </w:rPr>
        <w:t xml:space="preserve">is a component of good science, in part because it increases the likelihood that substantive flaws in methodology will be detected. </w:t>
      </w:r>
      <w:r w:rsidRPr="00D10655">
        <w:rPr>
          <w:rFonts w:ascii="Times New Roman" w:hAnsi="Times New Roman" w:cs="Times New Roman"/>
          <w:i/>
          <w:sz w:val="24"/>
          <w:szCs w:val="24"/>
        </w:rPr>
        <w:t>Daubert</w:t>
      </w:r>
      <w:r w:rsidRPr="00D10655">
        <w:rPr>
          <w:rFonts w:ascii="Times New Roman" w:hAnsi="Times New Roman" w:cs="Times New Roman"/>
          <w:sz w:val="24"/>
          <w:szCs w:val="24"/>
        </w:rPr>
        <w:t>, 509 US at 593-94. “Widespread acceptance can be an important factor in ruling particular</w:t>
      </w:r>
      <w:r w:rsidRPr="00D10655">
        <w:rPr>
          <w:rFonts w:ascii="Times New Roman" w:hAnsi="Times New Roman" w:cs="Times New Roman"/>
          <w:spacing w:val="-1"/>
          <w:sz w:val="24"/>
          <w:szCs w:val="24"/>
        </w:rPr>
        <w:t xml:space="preserve"> </w:t>
      </w:r>
      <w:r w:rsidRPr="00D10655">
        <w:rPr>
          <w:rFonts w:ascii="Times New Roman" w:hAnsi="Times New Roman" w:cs="Times New Roman"/>
          <w:sz w:val="24"/>
          <w:szCs w:val="24"/>
        </w:rPr>
        <w:t>evidence admissible, and ‘[a] known technique</w:t>
      </w:r>
      <w:r w:rsidRPr="00D10655">
        <w:rPr>
          <w:rFonts w:ascii="Times New Roman" w:hAnsi="Times New Roman" w:cs="Times New Roman"/>
          <w:spacing w:val="-1"/>
          <w:sz w:val="24"/>
          <w:szCs w:val="24"/>
        </w:rPr>
        <w:t xml:space="preserve"> </w:t>
      </w:r>
      <w:r w:rsidRPr="00D10655">
        <w:rPr>
          <w:rFonts w:ascii="Times New Roman" w:hAnsi="Times New Roman" w:cs="Times New Roman"/>
          <w:sz w:val="24"/>
          <w:szCs w:val="24"/>
        </w:rPr>
        <w:t>that has been able</w:t>
      </w:r>
      <w:r w:rsidRPr="00D10655">
        <w:rPr>
          <w:rFonts w:ascii="Times New Roman" w:hAnsi="Times New Roman" w:cs="Times New Roman"/>
          <w:spacing w:val="-1"/>
          <w:sz w:val="24"/>
          <w:szCs w:val="24"/>
        </w:rPr>
        <w:t xml:space="preserve"> </w:t>
      </w:r>
      <w:r w:rsidRPr="00D10655">
        <w:rPr>
          <w:rFonts w:ascii="Times New Roman" w:hAnsi="Times New Roman" w:cs="Times New Roman"/>
          <w:sz w:val="24"/>
          <w:szCs w:val="24"/>
        </w:rPr>
        <w:t xml:space="preserve">to draw only minimal support within community may properly be viewed with skepticism.’” </w:t>
      </w:r>
      <w:r w:rsidRPr="00D10655">
        <w:rPr>
          <w:rFonts w:ascii="Times New Roman" w:hAnsi="Times New Roman" w:cs="Times New Roman"/>
          <w:i/>
          <w:sz w:val="24"/>
          <w:szCs w:val="24"/>
        </w:rPr>
        <w:t>Id</w:t>
      </w:r>
      <w:r w:rsidRPr="00D10655">
        <w:rPr>
          <w:rFonts w:ascii="Times New Roman" w:hAnsi="Times New Roman" w:cs="Times New Roman"/>
          <w:sz w:val="24"/>
          <w:szCs w:val="24"/>
        </w:rPr>
        <w:t>. at 594. Importantly, “[s]</w:t>
      </w:r>
      <w:proofErr w:type="spellStart"/>
      <w:r w:rsidRPr="00D10655">
        <w:rPr>
          <w:rFonts w:ascii="Times New Roman" w:hAnsi="Times New Roman" w:cs="Times New Roman"/>
          <w:sz w:val="24"/>
          <w:szCs w:val="24"/>
        </w:rPr>
        <w:t>cientific</w:t>
      </w:r>
      <w:proofErr w:type="spellEnd"/>
      <w:r w:rsidRPr="00D10655">
        <w:rPr>
          <w:rFonts w:ascii="Times New Roman" w:hAnsi="Times New Roman" w:cs="Times New Roman"/>
          <w:sz w:val="24"/>
          <w:szCs w:val="24"/>
        </w:rPr>
        <w:t xml:space="preserve"> conclusions are subject to perpetual revision,” and “[t]</w:t>
      </w:r>
      <w:proofErr w:type="gramStart"/>
      <w:r w:rsidRPr="00D10655">
        <w:rPr>
          <w:rFonts w:ascii="Times New Roman" w:hAnsi="Times New Roman" w:cs="Times New Roman"/>
          <w:sz w:val="24"/>
          <w:szCs w:val="24"/>
        </w:rPr>
        <w:t>he</w:t>
      </w:r>
      <w:proofErr w:type="gramEnd"/>
      <w:r w:rsidRPr="00D10655">
        <w:rPr>
          <w:rFonts w:ascii="Times New Roman" w:hAnsi="Times New Roman" w:cs="Times New Roman"/>
          <w:sz w:val="24"/>
          <w:szCs w:val="24"/>
        </w:rPr>
        <w:t xml:space="preserve"> scientific project is advanced</w:t>
      </w:r>
      <w:r w:rsidRPr="00D10655">
        <w:rPr>
          <w:rFonts w:ascii="Times New Roman" w:hAnsi="Times New Roman" w:cs="Times New Roman"/>
          <w:spacing w:val="-2"/>
          <w:sz w:val="24"/>
          <w:szCs w:val="24"/>
        </w:rPr>
        <w:t xml:space="preserve"> </w:t>
      </w:r>
      <w:r w:rsidRPr="00D10655">
        <w:rPr>
          <w:rFonts w:ascii="Times New Roman" w:hAnsi="Times New Roman" w:cs="Times New Roman"/>
          <w:sz w:val="24"/>
          <w:szCs w:val="24"/>
        </w:rPr>
        <w:t>by</w:t>
      </w:r>
      <w:r w:rsidRPr="00D10655">
        <w:rPr>
          <w:rFonts w:ascii="Times New Roman" w:hAnsi="Times New Roman" w:cs="Times New Roman"/>
          <w:spacing w:val="-2"/>
          <w:sz w:val="24"/>
          <w:szCs w:val="24"/>
        </w:rPr>
        <w:t xml:space="preserve"> </w:t>
      </w:r>
      <w:r w:rsidRPr="00D10655">
        <w:rPr>
          <w:rFonts w:ascii="Times New Roman" w:hAnsi="Times New Roman" w:cs="Times New Roman"/>
          <w:sz w:val="24"/>
          <w:szCs w:val="24"/>
        </w:rPr>
        <w:t>broad</w:t>
      </w:r>
      <w:r w:rsidRPr="00D10655">
        <w:rPr>
          <w:rFonts w:ascii="Times New Roman" w:hAnsi="Times New Roman" w:cs="Times New Roman"/>
          <w:spacing w:val="-2"/>
          <w:sz w:val="24"/>
          <w:szCs w:val="24"/>
        </w:rPr>
        <w:t xml:space="preserve"> </w:t>
      </w:r>
      <w:r w:rsidRPr="00D10655">
        <w:rPr>
          <w:rFonts w:ascii="Times New Roman" w:hAnsi="Times New Roman" w:cs="Times New Roman"/>
          <w:sz w:val="24"/>
          <w:szCs w:val="24"/>
        </w:rPr>
        <w:lastRenderedPageBreak/>
        <w:t>and</w:t>
      </w:r>
      <w:r w:rsidRPr="00D10655">
        <w:rPr>
          <w:rFonts w:ascii="Times New Roman" w:hAnsi="Times New Roman" w:cs="Times New Roman"/>
          <w:spacing w:val="-2"/>
          <w:sz w:val="24"/>
          <w:szCs w:val="24"/>
        </w:rPr>
        <w:t xml:space="preserve"> </w:t>
      </w:r>
      <w:r w:rsidRPr="00D10655">
        <w:rPr>
          <w:rFonts w:ascii="Times New Roman" w:hAnsi="Times New Roman" w:cs="Times New Roman"/>
          <w:sz w:val="24"/>
          <w:szCs w:val="24"/>
        </w:rPr>
        <w:t>wide-ranging</w:t>
      </w:r>
      <w:r w:rsidRPr="00D10655">
        <w:rPr>
          <w:rFonts w:ascii="Times New Roman" w:hAnsi="Times New Roman" w:cs="Times New Roman"/>
          <w:spacing w:val="-2"/>
          <w:sz w:val="24"/>
          <w:szCs w:val="24"/>
        </w:rPr>
        <w:t xml:space="preserve"> </w:t>
      </w:r>
      <w:r w:rsidRPr="00D10655">
        <w:rPr>
          <w:rFonts w:ascii="Times New Roman" w:hAnsi="Times New Roman" w:cs="Times New Roman"/>
          <w:sz w:val="24"/>
          <w:szCs w:val="24"/>
        </w:rPr>
        <w:t>hypotheses,</w:t>
      </w:r>
      <w:r w:rsidRPr="00D10655">
        <w:rPr>
          <w:rFonts w:ascii="Times New Roman" w:hAnsi="Times New Roman" w:cs="Times New Roman"/>
          <w:spacing w:val="-2"/>
          <w:sz w:val="24"/>
          <w:szCs w:val="24"/>
        </w:rPr>
        <w:t xml:space="preserve"> </w:t>
      </w:r>
      <w:r w:rsidRPr="00D10655">
        <w:rPr>
          <w:rFonts w:ascii="Times New Roman" w:hAnsi="Times New Roman" w:cs="Times New Roman"/>
          <w:sz w:val="24"/>
          <w:szCs w:val="24"/>
        </w:rPr>
        <w:t>for</w:t>
      </w:r>
      <w:r w:rsidRPr="00D10655">
        <w:rPr>
          <w:rFonts w:ascii="Times New Roman" w:hAnsi="Times New Roman" w:cs="Times New Roman"/>
          <w:spacing w:val="-3"/>
          <w:sz w:val="24"/>
          <w:szCs w:val="24"/>
        </w:rPr>
        <w:t xml:space="preserve"> </w:t>
      </w:r>
      <w:r w:rsidRPr="00D10655">
        <w:rPr>
          <w:rFonts w:ascii="Times New Roman" w:hAnsi="Times New Roman" w:cs="Times New Roman"/>
          <w:sz w:val="24"/>
          <w:szCs w:val="24"/>
        </w:rPr>
        <w:t>those</w:t>
      </w:r>
      <w:r w:rsidRPr="00D10655">
        <w:rPr>
          <w:rFonts w:ascii="Times New Roman" w:hAnsi="Times New Roman" w:cs="Times New Roman"/>
          <w:spacing w:val="-3"/>
          <w:sz w:val="24"/>
          <w:szCs w:val="24"/>
        </w:rPr>
        <w:t xml:space="preserve"> </w:t>
      </w:r>
      <w:r w:rsidRPr="00D10655">
        <w:rPr>
          <w:rFonts w:ascii="Times New Roman" w:hAnsi="Times New Roman" w:cs="Times New Roman"/>
          <w:sz w:val="24"/>
          <w:szCs w:val="24"/>
        </w:rPr>
        <w:t>that are</w:t>
      </w:r>
      <w:r w:rsidRPr="00D10655">
        <w:rPr>
          <w:rFonts w:ascii="Times New Roman" w:hAnsi="Times New Roman" w:cs="Times New Roman"/>
          <w:spacing w:val="-1"/>
          <w:sz w:val="24"/>
          <w:szCs w:val="24"/>
        </w:rPr>
        <w:t xml:space="preserve"> </w:t>
      </w:r>
      <w:r w:rsidRPr="00D10655">
        <w:rPr>
          <w:rFonts w:ascii="Times New Roman" w:hAnsi="Times New Roman" w:cs="Times New Roman"/>
          <w:sz w:val="24"/>
          <w:szCs w:val="24"/>
        </w:rPr>
        <w:t>incorrect will</w:t>
      </w:r>
      <w:r w:rsidRPr="00D10655">
        <w:rPr>
          <w:rFonts w:ascii="Times New Roman" w:hAnsi="Times New Roman" w:cs="Times New Roman"/>
          <w:spacing w:val="-2"/>
          <w:sz w:val="24"/>
          <w:szCs w:val="24"/>
        </w:rPr>
        <w:t xml:space="preserve"> </w:t>
      </w:r>
      <w:r w:rsidRPr="00D10655">
        <w:rPr>
          <w:rFonts w:ascii="Times New Roman" w:hAnsi="Times New Roman" w:cs="Times New Roman"/>
          <w:sz w:val="24"/>
          <w:szCs w:val="24"/>
        </w:rPr>
        <w:t>eventually</w:t>
      </w:r>
      <w:r w:rsidRPr="00D10655">
        <w:rPr>
          <w:rFonts w:ascii="Times New Roman" w:hAnsi="Times New Roman" w:cs="Times New Roman"/>
          <w:spacing w:val="-2"/>
          <w:sz w:val="24"/>
          <w:szCs w:val="24"/>
        </w:rPr>
        <w:t xml:space="preserve"> </w:t>
      </w:r>
      <w:r w:rsidRPr="00D10655">
        <w:rPr>
          <w:rFonts w:ascii="Times New Roman" w:hAnsi="Times New Roman" w:cs="Times New Roman"/>
          <w:sz w:val="24"/>
          <w:szCs w:val="24"/>
        </w:rPr>
        <w:t>be</w:t>
      </w:r>
      <w:r w:rsidRPr="00D10655">
        <w:rPr>
          <w:rFonts w:ascii="Times New Roman" w:hAnsi="Times New Roman" w:cs="Times New Roman"/>
          <w:spacing w:val="-1"/>
          <w:sz w:val="24"/>
          <w:szCs w:val="24"/>
        </w:rPr>
        <w:t xml:space="preserve"> </w:t>
      </w:r>
      <w:r w:rsidRPr="00D10655">
        <w:rPr>
          <w:rFonts w:ascii="Times New Roman" w:hAnsi="Times New Roman" w:cs="Times New Roman"/>
          <w:sz w:val="24"/>
          <w:szCs w:val="24"/>
        </w:rPr>
        <w:t>shown</w:t>
      </w:r>
      <w:r w:rsidRPr="00D10655">
        <w:rPr>
          <w:rFonts w:ascii="Times New Roman" w:hAnsi="Times New Roman" w:cs="Times New Roman"/>
          <w:spacing w:val="-2"/>
          <w:sz w:val="24"/>
          <w:szCs w:val="24"/>
        </w:rPr>
        <w:t xml:space="preserve"> </w:t>
      </w:r>
      <w:r w:rsidRPr="00D10655">
        <w:rPr>
          <w:rFonts w:ascii="Times New Roman" w:hAnsi="Times New Roman" w:cs="Times New Roman"/>
          <w:sz w:val="24"/>
          <w:szCs w:val="24"/>
        </w:rPr>
        <w:t xml:space="preserve">to be so[.]” </w:t>
      </w:r>
      <w:r w:rsidRPr="00D10655">
        <w:rPr>
          <w:rFonts w:ascii="Times New Roman" w:hAnsi="Times New Roman" w:cs="Times New Roman"/>
          <w:i/>
          <w:sz w:val="24"/>
          <w:szCs w:val="24"/>
        </w:rPr>
        <w:t xml:space="preserve">Id. </w:t>
      </w:r>
      <w:r w:rsidRPr="00D10655">
        <w:rPr>
          <w:rFonts w:ascii="Times New Roman" w:hAnsi="Times New Roman" w:cs="Times New Roman"/>
          <w:sz w:val="24"/>
          <w:szCs w:val="24"/>
        </w:rPr>
        <w:t>at 597.</w:t>
      </w:r>
    </w:p>
    <w:p w14:paraId="626A576D" w14:textId="731EEFA4" w:rsidR="00716A73" w:rsidRDefault="00D10655" w:rsidP="00C76306">
      <w:pPr>
        <w:spacing w:after="0" w:line="480" w:lineRule="auto"/>
        <w:ind w:right="134" w:firstLine="720"/>
        <w:jc w:val="both"/>
        <w:rPr>
          <w:rFonts w:ascii="Times New Roman" w:hAnsi="Times New Roman" w:cs="Times New Roman"/>
          <w:sz w:val="24"/>
          <w:szCs w:val="24"/>
        </w:rPr>
      </w:pPr>
      <w:r w:rsidRPr="00D10655">
        <w:rPr>
          <w:rFonts w:ascii="Times New Roman" w:hAnsi="Times New Roman" w:cs="Times New Roman"/>
          <w:sz w:val="24"/>
          <w:szCs w:val="24"/>
        </w:rPr>
        <w:t>“[N]</w:t>
      </w:r>
      <w:proofErr w:type="spellStart"/>
      <w:r w:rsidRPr="00D10655">
        <w:rPr>
          <w:rFonts w:ascii="Times New Roman" w:hAnsi="Times New Roman" w:cs="Times New Roman"/>
          <w:sz w:val="24"/>
          <w:szCs w:val="24"/>
        </w:rPr>
        <w:t>othing</w:t>
      </w:r>
      <w:proofErr w:type="spellEnd"/>
      <w:r w:rsidRPr="00D10655">
        <w:rPr>
          <w:rFonts w:ascii="Times New Roman" w:hAnsi="Times New Roman" w:cs="Times New Roman"/>
          <w:sz w:val="24"/>
          <w:szCs w:val="24"/>
        </w:rPr>
        <w:t xml:space="preserve"> in either</w:t>
      </w:r>
      <w:r w:rsidRPr="00D10655">
        <w:rPr>
          <w:rFonts w:ascii="Times New Roman" w:hAnsi="Times New Roman" w:cs="Times New Roman"/>
          <w:spacing w:val="-1"/>
          <w:sz w:val="24"/>
          <w:szCs w:val="24"/>
        </w:rPr>
        <w:t xml:space="preserve"> </w:t>
      </w:r>
      <w:r w:rsidRPr="00D10655">
        <w:rPr>
          <w:rFonts w:ascii="Times New Roman" w:hAnsi="Times New Roman" w:cs="Times New Roman"/>
          <w:i/>
          <w:sz w:val="24"/>
          <w:szCs w:val="24"/>
        </w:rPr>
        <w:t xml:space="preserve">Daubert </w:t>
      </w:r>
      <w:r w:rsidRPr="00D10655">
        <w:rPr>
          <w:rFonts w:ascii="Times New Roman" w:hAnsi="Times New Roman" w:cs="Times New Roman"/>
          <w:sz w:val="24"/>
          <w:szCs w:val="24"/>
        </w:rPr>
        <w:t>or</w:t>
      </w:r>
      <w:r w:rsidRPr="00D10655">
        <w:rPr>
          <w:rFonts w:ascii="Times New Roman" w:hAnsi="Times New Roman" w:cs="Times New Roman"/>
          <w:spacing w:val="-1"/>
          <w:sz w:val="24"/>
          <w:szCs w:val="24"/>
        </w:rPr>
        <w:t xml:space="preserve"> </w:t>
      </w:r>
      <w:r w:rsidRPr="00D10655">
        <w:rPr>
          <w:rFonts w:ascii="Times New Roman" w:hAnsi="Times New Roman" w:cs="Times New Roman"/>
          <w:sz w:val="24"/>
          <w:szCs w:val="24"/>
        </w:rPr>
        <w:t>the</w:t>
      </w:r>
      <w:r w:rsidRPr="00D10655">
        <w:rPr>
          <w:rFonts w:ascii="Times New Roman" w:hAnsi="Times New Roman" w:cs="Times New Roman"/>
          <w:spacing w:val="-1"/>
          <w:sz w:val="24"/>
          <w:szCs w:val="24"/>
        </w:rPr>
        <w:t xml:space="preserve"> </w:t>
      </w:r>
      <w:r w:rsidRPr="00D10655">
        <w:rPr>
          <w:rFonts w:ascii="Times New Roman" w:hAnsi="Times New Roman" w:cs="Times New Roman"/>
          <w:sz w:val="24"/>
          <w:szCs w:val="24"/>
        </w:rPr>
        <w:t>[FRE] requires a</w:t>
      </w:r>
      <w:r w:rsidRPr="00D10655">
        <w:rPr>
          <w:rFonts w:ascii="Times New Roman" w:hAnsi="Times New Roman" w:cs="Times New Roman"/>
          <w:spacing w:val="-1"/>
          <w:sz w:val="24"/>
          <w:szCs w:val="24"/>
        </w:rPr>
        <w:t xml:space="preserve"> </w:t>
      </w:r>
      <w:r w:rsidRPr="00D10655">
        <w:rPr>
          <w:rFonts w:ascii="Times New Roman" w:hAnsi="Times New Roman" w:cs="Times New Roman"/>
          <w:sz w:val="24"/>
          <w:szCs w:val="24"/>
        </w:rPr>
        <w:t>district court to admit opinion evidence</w:t>
      </w:r>
      <w:r w:rsidRPr="00D10655">
        <w:rPr>
          <w:rFonts w:ascii="Times New Roman" w:hAnsi="Times New Roman" w:cs="Times New Roman"/>
          <w:spacing w:val="-1"/>
          <w:sz w:val="24"/>
          <w:szCs w:val="24"/>
        </w:rPr>
        <w:t xml:space="preserve"> </w:t>
      </w:r>
      <w:r w:rsidRPr="00D10655">
        <w:rPr>
          <w:rFonts w:ascii="Times New Roman" w:hAnsi="Times New Roman" w:cs="Times New Roman"/>
          <w:sz w:val="24"/>
          <w:szCs w:val="24"/>
        </w:rPr>
        <w:t>that is</w:t>
      </w:r>
      <w:r w:rsidRPr="00D10655">
        <w:rPr>
          <w:rFonts w:ascii="Times New Roman" w:hAnsi="Times New Roman" w:cs="Times New Roman"/>
          <w:spacing w:val="-8"/>
          <w:sz w:val="24"/>
          <w:szCs w:val="24"/>
        </w:rPr>
        <w:t xml:space="preserve"> </w:t>
      </w:r>
      <w:r w:rsidRPr="00D10655">
        <w:rPr>
          <w:rFonts w:ascii="Times New Roman" w:hAnsi="Times New Roman" w:cs="Times New Roman"/>
          <w:sz w:val="24"/>
          <w:szCs w:val="24"/>
        </w:rPr>
        <w:t>connected</w:t>
      </w:r>
      <w:r w:rsidRPr="00D10655">
        <w:rPr>
          <w:rFonts w:ascii="Times New Roman" w:hAnsi="Times New Roman" w:cs="Times New Roman"/>
          <w:spacing w:val="-6"/>
          <w:sz w:val="24"/>
          <w:szCs w:val="24"/>
        </w:rPr>
        <w:t xml:space="preserve"> </w:t>
      </w:r>
      <w:r w:rsidRPr="00D10655">
        <w:rPr>
          <w:rFonts w:ascii="Times New Roman" w:hAnsi="Times New Roman" w:cs="Times New Roman"/>
          <w:sz w:val="24"/>
          <w:szCs w:val="24"/>
        </w:rPr>
        <w:t>to</w:t>
      </w:r>
      <w:r w:rsidRPr="00D10655">
        <w:rPr>
          <w:rFonts w:ascii="Times New Roman" w:hAnsi="Times New Roman" w:cs="Times New Roman"/>
          <w:spacing w:val="-6"/>
          <w:sz w:val="24"/>
          <w:szCs w:val="24"/>
        </w:rPr>
        <w:t xml:space="preserve"> </w:t>
      </w:r>
      <w:r w:rsidRPr="00D10655">
        <w:rPr>
          <w:rFonts w:ascii="Times New Roman" w:hAnsi="Times New Roman" w:cs="Times New Roman"/>
          <w:sz w:val="24"/>
          <w:szCs w:val="24"/>
        </w:rPr>
        <w:t>existing</w:t>
      </w:r>
      <w:r w:rsidRPr="00D10655">
        <w:rPr>
          <w:rFonts w:ascii="Times New Roman" w:hAnsi="Times New Roman" w:cs="Times New Roman"/>
          <w:spacing w:val="-5"/>
          <w:sz w:val="24"/>
          <w:szCs w:val="24"/>
        </w:rPr>
        <w:t xml:space="preserve"> </w:t>
      </w:r>
      <w:r w:rsidRPr="00D10655">
        <w:rPr>
          <w:rFonts w:ascii="Times New Roman" w:hAnsi="Times New Roman" w:cs="Times New Roman"/>
          <w:sz w:val="24"/>
          <w:szCs w:val="24"/>
        </w:rPr>
        <w:t>data</w:t>
      </w:r>
      <w:r w:rsidRPr="00D10655">
        <w:rPr>
          <w:rFonts w:ascii="Times New Roman" w:hAnsi="Times New Roman" w:cs="Times New Roman"/>
          <w:spacing w:val="-7"/>
          <w:sz w:val="24"/>
          <w:szCs w:val="24"/>
        </w:rPr>
        <w:t xml:space="preserve"> </w:t>
      </w:r>
      <w:r w:rsidRPr="00D10655">
        <w:rPr>
          <w:rFonts w:ascii="Times New Roman" w:hAnsi="Times New Roman" w:cs="Times New Roman"/>
          <w:sz w:val="24"/>
          <w:szCs w:val="24"/>
        </w:rPr>
        <w:t>only</w:t>
      </w:r>
      <w:r w:rsidRPr="00D10655">
        <w:rPr>
          <w:rFonts w:ascii="Times New Roman" w:hAnsi="Times New Roman" w:cs="Times New Roman"/>
          <w:spacing w:val="-6"/>
          <w:sz w:val="24"/>
          <w:szCs w:val="24"/>
        </w:rPr>
        <w:t xml:space="preserve"> </w:t>
      </w:r>
      <w:r w:rsidRPr="00D10655">
        <w:rPr>
          <w:rFonts w:ascii="Times New Roman" w:hAnsi="Times New Roman" w:cs="Times New Roman"/>
          <w:sz w:val="24"/>
          <w:szCs w:val="24"/>
        </w:rPr>
        <w:t>by</w:t>
      </w:r>
      <w:r w:rsidRPr="00D10655">
        <w:rPr>
          <w:rFonts w:ascii="Times New Roman" w:hAnsi="Times New Roman" w:cs="Times New Roman"/>
          <w:spacing w:val="-6"/>
          <w:sz w:val="24"/>
          <w:szCs w:val="24"/>
        </w:rPr>
        <w:t xml:space="preserve"> </w:t>
      </w:r>
      <w:r w:rsidRPr="00D10655">
        <w:rPr>
          <w:rFonts w:ascii="Times New Roman" w:hAnsi="Times New Roman" w:cs="Times New Roman"/>
          <w:sz w:val="24"/>
          <w:szCs w:val="24"/>
        </w:rPr>
        <w:t>the</w:t>
      </w:r>
      <w:r w:rsidRPr="00D10655">
        <w:rPr>
          <w:rFonts w:ascii="Times New Roman" w:hAnsi="Times New Roman" w:cs="Times New Roman"/>
          <w:spacing w:val="-6"/>
          <w:sz w:val="24"/>
          <w:szCs w:val="24"/>
        </w:rPr>
        <w:t xml:space="preserve"> </w:t>
      </w:r>
      <w:r w:rsidRPr="00D10655">
        <w:rPr>
          <w:rFonts w:ascii="Times New Roman" w:hAnsi="Times New Roman" w:cs="Times New Roman"/>
          <w:i/>
          <w:sz w:val="24"/>
          <w:szCs w:val="24"/>
        </w:rPr>
        <w:t>ipse</w:t>
      </w:r>
      <w:r w:rsidRPr="00D10655">
        <w:rPr>
          <w:rFonts w:ascii="Times New Roman" w:hAnsi="Times New Roman" w:cs="Times New Roman"/>
          <w:i/>
          <w:spacing w:val="-7"/>
          <w:sz w:val="24"/>
          <w:szCs w:val="24"/>
        </w:rPr>
        <w:t xml:space="preserve"> </w:t>
      </w:r>
      <w:r w:rsidRPr="00D10655">
        <w:rPr>
          <w:rFonts w:ascii="Times New Roman" w:hAnsi="Times New Roman" w:cs="Times New Roman"/>
          <w:i/>
          <w:sz w:val="24"/>
          <w:szCs w:val="24"/>
        </w:rPr>
        <w:t>dixit</w:t>
      </w:r>
      <w:r w:rsidRPr="00D10655">
        <w:rPr>
          <w:rFonts w:ascii="Times New Roman" w:hAnsi="Times New Roman" w:cs="Times New Roman"/>
          <w:i/>
          <w:spacing w:val="-6"/>
          <w:sz w:val="24"/>
          <w:szCs w:val="24"/>
        </w:rPr>
        <w:t xml:space="preserve"> </w:t>
      </w:r>
      <w:r w:rsidRPr="00D10655">
        <w:rPr>
          <w:rFonts w:ascii="Times New Roman" w:hAnsi="Times New Roman" w:cs="Times New Roman"/>
          <w:sz w:val="24"/>
          <w:szCs w:val="24"/>
        </w:rPr>
        <w:t>of</w:t>
      </w:r>
      <w:r w:rsidRPr="00D10655">
        <w:rPr>
          <w:rFonts w:ascii="Times New Roman" w:hAnsi="Times New Roman" w:cs="Times New Roman"/>
          <w:spacing w:val="-6"/>
          <w:sz w:val="24"/>
          <w:szCs w:val="24"/>
        </w:rPr>
        <w:t xml:space="preserve"> </w:t>
      </w:r>
      <w:r w:rsidRPr="00D10655">
        <w:rPr>
          <w:rFonts w:ascii="Times New Roman" w:hAnsi="Times New Roman" w:cs="Times New Roman"/>
          <w:sz w:val="24"/>
          <w:szCs w:val="24"/>
        </w:rPr>
        <w:t>the</w:t>
      </w:r>
      <w:r w:rsidRPr="00D10655">
        <w:rPr>
          <w:rFonts w:ascii="Times New Roman" w:hAnsi="Times New Roman" w:cs="Times New Roman"/>
          <w:spacing w:val="-7"/>
          <w:sz w:val="24"/>
          <w:szCs w:val="24"/>
        </w:rPr>
        <w:t xml:space="preserve"> </w:t>
      </w:r>
      <w:r w:rsidRPr="00D10655">
        <w:rPr>
          <w:rFonts w:ascii="Times New Roman" w:hAnsi="Times New Roman" w:cs="Times New Roman"/>
          <w:sz w:val="24"/>
          <w:szCs w:val="24"/>
        </w:rPr>
        <w:t>expert.</w:t>
      </w:r>
      <w:r w:rsidR="00D5180C">
        <w:rPr>
          <w:rFonts w:ascii="Times New Roman" w:hAnsi="Times New Roman" w:cs="Times New Roman"/>
          <w:sz w:val="24"/>
          <w:szCs w:val="24"/>
        </w:rPr>
        <w:t>”</w:t>
      </w:r>
      <w:r w:rsidRPr="00D10655">
        <w:rPr>
          <w:rFonts w:ascii="Times New Roman" w:hAnsi="Times New Roman" w:cs="Times New Roman"/>
          <w:spacing w:val="-6"/>
          <w:sz w:val="24"/>
          <w:szCs w:val="24"/>
        </w:rPr>
        <w:t xml:space="preserve"> </w:t>
      </w:r>
      <w:r w:rsidRPr="00D10655">
        <w:rPr>
          <w:rFonts w:ascii="Times New Roman" w:hAnsi="Times New Roman" w:cs="Times New Roman"/>
          <w:i/>
          <w:sz w:val="24"/>
          <w:szCs w:val="24"/>
        </w:rPr>
        <w:t>General</w:t>
      </w:r>
      <w:r w:rsidRPr="00D10655">
        <w:rPr>
          <w:rFonts w:ascii="Times New Roman" w:hAnsi="Times New Roman" w:cs="Times New Roman"/>
          <w:i/>
          <w:spacing w:val="-6"/>
          <w:sz w:val="24"/>
          <w:szCs w:val="24"/>
        </w:rPr>
        <w:t xml:space="preserve"> </w:t>
      </w:r>
      <w:r w:rsidRPr="00D10655">
        <w:rPr>
          <w:rFonts w:ascii="Times New Roman" w:hAnsi="Times New Roman" w:cs="Times New Roman"/>
          <w:i/>
          <w:sz w:val="24"/>
          <w:szCs w:val="24"/>
        </w:rPr>
        <w:t>Electric</w:t>
      </w:r>
      <w:r w:rsidRPr="00D10655">
        <w:rPr>
          <w:rFonts w:ascii="Times New Roman" w:hAnsi="Times New Roman" w:cs="Times New Roman"/>
          <w:i/>
          <w:spacing w:val="-6"/>
          <w:sz w:val="24"/>
          <w:szCs w:val="24"/>
        </w:rPr>
        <w:t xml:space="preserve"> </w:t>
      </w:r>
      <w:r w:rsidRPr="00D10655">
        <w:rPr>
          <w:rFonts w:ascii="Times New Roman" w:hAnsi="Times New Roman" w:cs="Times New Roman"/>
          <w:i/>
          <w:sz w:val="24"/>
          <w:szCs w:val="24"/>
        </w:rPr>
        <w:t>Company</w:t>
      </w:r>
      <w:r w:rsidRPr="00D10655">
        <w:rPr>
          <w:rFonts w:ascii="Times New Roman" w:hAnsi="Times New Roman" w:cs="Times New Roman"/>
          <w:i/>
          <w:spacing w:val="-7"/>
          <w:sz w:val="24"/>
          <w:szCs w:val="24"/>
        </w:rPr>
        <w:t xml:space="preserve"> </w:t>
      </w:r>
      <w:r w:rsidRPr="00D10655">
        <w:rPr>
          <w:rFonts w:ascii="Times New Roman" w:hAnsi="Times New Roman" w:cs="Times New Roman"/>
          <w:i/>
          <w:sz w:val="24"/>
          <w:szCs w:val="24"/>
        </w:rPr>
        <w:t>v</w:t>
      </w:r>
      <w:r w:rsidRPr="00D10655">
        <w:rPr>
          <w:rFonts w:ascii="Times New Roman" w:hAnsi="Times New Roman" w:cs="Times New Roman"/>
          <w:i/>
          <w:spacing w:val="-6"/>
          <w:sz w:val="24"/>
          <w:szCs w:val="24"/>
        </w:rPr>
        <w:t xml:space="preserve"> </w:t>
      </w:r>
      <w:r w:rsidRPr="00D10655">
        <w:rPr>
          <w:rFonts w:ascii="Times New Roman" w:hAnsi="Times New Roman" w:cs="Times New Roman"/>
          <w:i/>
          <w:sz w:val="24"/>
          <w:szCs w:val="24"/>
        </w:rPr>
        <w:t>Joiner</w:t>
      </w:r>
      <w:r w:rsidRPr="00D10655">
        <w:rPr>
          <w:rFonts w:ascii="Times New Roman" w:hAnsi="Times New Roman" w:cs="Times New Roman"/>
          <w:sz w:val="24"/>
          <w:szCs w:val="24"/>
        </w:rPr>
        <w:t>,</w:t>
      </w:r>
      <w:r w:rsidRPr="00D10655">
        <w:rPr>
          <w:rFonts w:ascii="Times New Roman" w:hAnsi="Times New Roman" w:cs="Times New Roman"/>
          <w:spacing w:val="-5"/>
          <w:sz w:val="24"/>
          <w:szCs w:val="24"/>
        </w:rPr>
        <w:t xml:space="preserve"> 522</w:t>
      </w:r>
      <w:r w:rsidRPr="00D10655">
        <w:rPr>
          <w:rFonts w:ascii="Times New Roman" w:hAnsi="Times New Roman" w:cs="Times New Roman"/>
          <w:sz w:val="24"/>
          <w:szCs w:val="24"/>
        </w:rPr>
        <w:t xml:space="preserve"> US 136, 146 (1997). In </w:t>
      </w:r>
      <w:r w:rsidRPr="00D10655">
        <w:rPr>
          <w:rFonts w:ascii="Times New Roman" w:hAnsi="Times New Roman" w:cs="Times New Roman"/>
          <w:i/>
          <w:sz w:val="24"/>
          <w:szCs w:val="24"/>
        </w:rPr>
        <w:t>Joiner</w:t>
      </w:r>
      <w:r w:rsidRPr="00D10655">
        <w:rPr>
          <w:rFonts w:ascii="Times New Roman" w:hAnsi="Times New Roman" w:cs="Times New Roman"/>
          <w:sz w:val="24"/>
          <w:szCs w:val="24"/>
        </w:rPr>
        <w:t>, the respondent sought to admit the testimony of expert witnesses who believed</w:t>
      </w:r>
      <w:r w:rsidRPr="00D10655">
        <w:rPr>
          <w:rFonts w:ascii="Times New Roman" w:hAnsi="Times New Roman" w:cs="Times New Roman"/>
          <w:spacing w:val="-8"/>
          <w:sz w:val="24"/>
          <w:szCs w:val="24"/>
        </w:rPr>
        <w:t xml:space="preserve"> </w:t>
      </w:r>
      <w:r w:rsidRPr="00D10655">
        <w:rPr>
          <w:rFonts w:ascii="Times New Roman" w:hAnsi="Times New Roman" w:cs="Times New Roman"/>
          <w:sz w:val="24"/>
          <w:szCs w:val="24"/>
        </w:rPr>
        <w:t>his</w:t>
      </w:r>
      <w:r w:rsidRPr="00D10655">
        <w:rPr>
          <w:rFonts w:ascii="Times New Roman" w:hAnsi="Times New Roman" w:cs="Times New Roman"/>
          <w:spacing w:val="-8"/>
          <w:sz w:val="24"/>
          <w:szCs w:val="24"/>
        </w:rPr>
        <w:t xml:space="preserve"> </w:t>
      </w:r>
      <w:r w:rsidRPr="00D10655">
        <w:rPr>
          <w:rFonts w:ascii="Times New Roman" w:hAnsi="Times New Roman" w:cs="Times New Roman"/>
          <w:sz w:val="24"/>
          <w:szCs w:val="24"/>
        </w:rPr>
        <w:t>exposure</w:t>
      </w:r>
      <w:r w:rsidRPr="00D10655">
        <w:rPr>
          <w:rFonts w:ascii="Times New Roman" w:hAnsi="Times New Roman" w:cs="Times New Roman"/>
          <w:spacing w:val="-9"/>
          <w:sz w:val="24"/>
          <w:szCs w:val="24"/>
        </w:rPr>
        <w:t xml:space="preserve"> </w:t>
      </w:r>
      <w:r w:rsidRPr="00D10655">
        <w:rPr>
          <w:rFonts w:ascii="Times New Roman" w:hAnsi="Times New Roman" w:cs="Times New Roman"/>
          <w:sz w:val="24"/>
          <w:szCs w:val="24"/>
        </w:rPr>
        <w:t>to</w:t>
      </w:r>
      <w:r w:rsidRPr="00D10655">
        <w:rPr>
          <w:rFonts w:ascii="Times New Roman" w:hAnsi="Times New Roman" w:cs="Times New Roman"/>
          <w:spacing w:val="-6"/>
          <w:sz w:val="24"/>
          <w:szCs w:val="24"/>
        </w:rPr>
        <w:t xml:space="preserve"> </w:t>
      </w:r>
      <w:r w:rsidRPr="00D10655">
        <w:rPr>
          <w:rFonts w:ascii="Times New Roman" w:hAnsi="Times New Roman" w:cs="Times New Roman"/>
          <w:sz w:val="24"/>
          <w:szCs w:val="24"/>
        </w:rPr>
        <w:t>certain</w:t>
      </w:r>
      <w:r w:rsidRPr="00D10655">
        <w:rPr>
          <w:rFonts w:ascii="Times New Roman" w:hAnsi="Times New Roman" w:cs="Times New Roman"/>
          <w:spacing w:val="-8"/>
          <w:sz w:val="24"/>
          <w:szCs w:val="24"/>
        </w:rPr>
        <w:t xml:space="preserve"> </w:t>
      </w:r>
      <w:r w:rsidRPr="00D10655">
        <w:rPr>
          <w:rFonts w:ascii="Times New Roman" w:hAnsi="Times New Roman" w:cs="Times New Roman"/>
          <w:sz w:val="24"/>
          <w:szCs w:val="24"/>
        </w:rPr>
        <w:t>materials</w:t>
      </w:r>
      <w:r w:rsidRPr="00D10655">
        <w:rPr>
          <w:rFonts w:ascii="Times New Roman" w:hAnsi="Times New Roman" w:cs="Times New Roman"/>
          <w:spacing w:val="-8"/>
          <w:sz w:val="24"/>
          <w:szCs w:val="24"/>
        </w:rPr>
        <w:t xml:space="preserve"> </w:t>
      </w:r>
      <w:r w:rsidRPr="00D10655">
        <w:rPr>
          <w:rFonts w:ascii="Times New Roman" w:hAnsi="Times New Roman" w:cs="Times New Roman"/>
          <w:sz w:val="24"/>
          <w:szCs w:val="24"/>
        </w:rPr>
        <w:t>in</w:t>
      </w:r>
      <w:r w:rsidRPr="00D10655">
        <w:rPr>
          <w:rFonts w:ascii="Times New Roman" w:hAnsi="Times New Roman" w:cs="Times New Roman"/>
          <w:spacing w:val="-8"/>
          <w:sz w:val="24"/>
          <w:szCs w:val="24"/>
        </w:rPr>
        <w:t xml:space="preserve"> </w:t>
      </w:r>
      <w:r w:rsidRPr="00D10655">
        <w:rPr>
          <w:rFonts w:ascii="Times New Roman" w:hAnsi="Times New Roman" w:cs="Times New Roman"/>
          <w:sz w:val="24"/>
          <w:szCs w:val="24"/>
        </w:rPr>
        <w:t>the</w:t>
      </w:r>
      <w:r w:rsidRPr="00D10655">
        <w:rPr>
          <w:rFonts w:ascii="Times New Roman" w:hAnsi="Times New Roman" w:cs="Times New Roman"/>
          <w:spacing w:val="-9"/>
          <w:sz w:val="24"/>
          <w:szCs w:val="24"/>
        </w:rPr>
        <w:t xml:space="preserve"> </w:t>
      </w:r>
      <w:r w:rsidRPr="00D10655">
        <w:rPr>
          <w:rFonts w:ascii="Times New Roman" w:hAnsi="Times New Roman" w:cs="Times New Roman"/>
          <w:sz w:val="24"/>
          <w:szCs w:val="24"/>
        </w:rPr>
        <w:t>workplace</w:t>
      </w:r>
      <w:r w:rsidRPr="00D10655">
        <w:rPr>
          <w:rFonts w:ascii="Times New Roman" w:hAnsi="Times New Roman" w:cs="Times New Roman"/>
          <w:spacing w:val="-9"/>
          <w:sz w:val="24"/>
          <w:szCs w:val="24"/>
        </w:rPr>
        <w:t xml:space="preserve"> </w:t>
      </w:r>
      <w:r w:rsidRPr="00D10655">
        <w:rPr>
          <w:rFonts w:ascii="Times New Roman" w:hAnsi="Times New Roman" w:cs="Times New Roman"/>
          <w:sz w:val="24"/>
          <w:szCs w:val="24"/>
        </w:rPr>
        <w:t>were</w:t>
      </w:r>
      <w:r w:rsidRPr="00D10655">
        <w:rPr>
          <w:rFonts w:ascii="Times New Roman" w:hAnsi="Times New Roman" w:cs="Times New Roman"/>
          <w:spacing w:val="-7"/>
          <w:sz w:val="24"/>
          <w:szCs w:val="24"/>
        </w:rPr>
        <w:t xml:space="preserve"> </w:t>
      </w:r>
      <w:r w:rsidRPr="00D10655">
        <w:rPr>
          <w:rFonts w:ascii="Times New Roman" w:hAnsi="Times New Roman" w:cs="Times New Roman"/>
          <w:sz w:val="24"/>
          <w:szCs w:val="24"/>
        </w:rPr>
        <w:t>“causally</w:t>
      </w:r>
      <w:r w:rsidRPr="00D10655">
        <w:rPr>
          <w:rFonts w:ascii="Times New Roman" w:hAnsi="Times New Roman" w:cs="Times New Roman"/>
          <w:spacing w:val="-8"/>
          <w:sz w:val="24"/>
          <w:szCs w:val="24"/>
        </w:rPr>
        <w:t xml:space="preserve"> </w:t>
      </w:r>
      <w:r w:rsidRPr="00D10655">
        <w:rPr>
          <w:rFonts w:ascii="Times New Roman" w:hAnsi="Times New Roman" w:cs="Times New Roman"/>
          <w:sz w:val="24"/>
          <w:szCs w:val="24"/>
        </w:rPr>
        <w:t>linked</w:t>
      </w:r>
      <w:r w:rsidRPr="00D10655">
        <w:rPr>
          <w:rFonts w:ascii="Times New Roman" w:hAnsi="Times New Roman" w:cs="Times New Roman"/>
          <w:spacing w:val="-8"/>
          <w:sz w:val="24"/>
          <w:szCs w:val="24"/>
        </w:rPr>
        <w:t xml:space="preserve"> </w:t>
      </w:r>
      <w:r w:rsidRPr="00D10655">
        <w:rPr>
          <w:rFonts w:ascii="Times New Roman" w:hAnsi="Times New Roman" w:cs="Times New Roman"/>
          <w:sz w:val="24"/>
          <w:szCs w:val="24"/>
        </w:rPr>
        <w:t>to”</w:t>
      </w:r>
      <w:r w:rsidRPr="00D10655">
        <w:rPr>
          <w:rFonts w:ascii="Times New Roman" w:hAnsi="Times New Roman" w:cs="Times New Roman"/>
          <w:spacing w:val="-9"/>
          <w:sz w:val="24"/>
          <w:szCs w:val="24"/>
        </w:rPr>
        <w:t xml:space="preserve"> </w:t>
      </w:r>
      <w:r w:rsidRPr="00D10655">
        <w:rPr>
          <w:rFonts w:ascii="Times New Roman" w:hAnsi="Times New Roman" w:cs="Times New Roman"/>
          <w:sz w:val="24"/>
          <w:szCs w:val="24"/>
        </w:rPr>
        <w:t>or</w:t>
      </w:r>
      <w:r w:rsidRPr="00D10655">
        <w:rPr>
          <w:rFonts w:ascii="Times New Roman" w:hAnsi="Times New Roman" w:cs="Times New Roman"/>
          <w:spacing w:val="-9"/>
          <w:sz w:val="24"/>
          <w:szCs w:val="24"/>
        </w:rPr>
        <w:t xml:space="preserve"> </w:t>
      </w:r>
      <w:r w:rsidRPr="00D10655">
        <w:rPr>
          <w:rFonts w:ascii="Times New Roman" w:hAnsi="Times New Roman" w:cs="Times New Roman"/>
          <w:sz w:val="24"/>
          <w:szCs w:val="24"/>
        </w:rPr>
        <w:t>“contributed</w:t>
      </w:r>
      <w:r w:rsidRPr="00D10655">
        <w:rPr>
          <w:rFonts w:ascii="Times New Roman" w:hAnsi="Times New Roman" w:cs="Times New Roman"/>
          <w:spacing w:val="-6"/>
          <w:sz w:val="24"/>
          <w:szCs w:val="24"/>
        </w:rPr>
        <w:t xml:space="preserve"> </w:t>
      </w:r>
      <w:r w:rsidRPr="00D10655">
        <w:rPr>
          <w:rFonts w:ascii="Times New Roman" w:hAnsi="Times New Roman" w:cs="Times New Roman"/>
          <w:sz w:val="24"/>
          <w:szCs w:val="24"/>
        </w:rPr>
        <w:t>to</w:t>
      </w:r>
      <w:r w:rsidRPr="00D10655">
        <w:rPr>
          <w:rFonts w:ascii="Times New Roman" w:hAnsi="Times New Roman" w:cs="Times New Roman"/>
          <w:spacing w:val="-8"/>
          <w:sz w:val="24"/>
          <w:szCs w:val="24"/>
        </w:rPr>
        <w:t xml:space="preserve"> </w:t>
      </w:r>
      <w:r w:rsidRPr="00D10655">
        <w:rPr>
          <w:rFonts w:ascii="Times New Roman" w:hAnsi="Times New Roman" w:cs="Times New Roman"/>
          <w:sz w:val="24"/>
          <w:szCs w:val="24"/>
        </w:rPr>
        <w:t>in a</w:t>
      </w:r>
      <w:r w:rsidRPr="00D10655">
        <w:rPr>
          <w:rFonts w:ascii="Times New Roman" w:hAnsi="Times New Roman" w:cs="Times New Roman"/>
          <w:spacing w:val="-12"/>
          <w:sz w:val="24"/>
          <w:szCs w:val="24"/>
        </w:rPr>
        <w:t xml:space="preserve"> </w:t>
      </w:r>
      <w:r w:rsidRPr="00D10655">
        <w:rPr>
          <w:rFonts w:ascii="Times New Roman" w:hAnsi="Times New Roman" w:cs="Times New Roman"/>
          <w:sz w:val="24"/>
          <w:szCs w:val="24"/>
        </w:rPr>
        <w:t>significant</w:t>
      </w:r>
      <w:r w:rsidRPr="00D10655">
        <w:rPr>
          <w:rFonts w:ascii="Times New Roman" w:hAnsi="Times New Roman" w:cs="Times New Roman"/>
          <w:spacing w:val="-10"/>
          <w:sz w:val="24"/>
          <w:szCs w:val="24"/>
        </w:rPr>
        <w:t xml:space="preserve"> </w:t>
      </w:r>
      <w:r w:rsidRPr="00D10655">
        <w:rPr>
          <w:rFonts w:ascii="Times New Roman" w:hAnsi="Times New Roman" w:cs="Times New Roman"/>
          <w:sz w:val="24"/>
          <w:szCs w:val="24"/>
        </w:rPr>
        <w:t>way”</w:t>
      </w:r>
      <w:r w:rsidRPr="00D10655">
        <w:rPr>
          <w:rFonts w:ascii="Times New Roman" w:hAnsi="Times New Roman" w:cs="Times New Roman"/>
          <w:spacing w:val="-12"/>
          <w:sz w:val="24"/>
          <w:szCs w:val="24"/>
        </w:rPr>
        <w:t xml:space="preserve"> </w:t>
      </w:r>
      <w:r w:rsidRPr="00D10655">
        <w:rPr>
          <w:rFonts w:ascii="Times New Roman" w:hAnsi="Times New Roman" w:cs="Times New Roman"/>
          <w:sz w:val="24"/>
          <w:szCs w:val="24"/>
        </w:rPr>
        <w:t>his</w:t>
      </w:r>
      <w:r w:rsidRPr="00D10655">
        <w:rPr>
          <w:rFonts w:ascii="Times New Roman" w:hAnsi="Times New Roman" w:cs="Times New Roman"/>
          <w:spacing w:val="-10"/>
          <w:sz w:val="24"/>
          <w:szCs w:val="24"/>
        </w:rPr>
        <w:t xml:space="preserve"> </w:t>
      </w:r>
      <w:r w:rsidRPr="00D10655">
        <w:rPr>
          <w:rFonts w:ascii="Times New Roman" w:hAnsi="Times New Roman" w:cs="Times New Roman"/>
          <w:sz w:val="24"/>
          <w:szCs w:val="24"/>
        </w:rPr>
        <w:t>cancer.</w:t>
      </w:r>
      <w:r w:rsidRPr="00D10655">
        <w:rPr>
          <w:rFonts w:ascii="Times New Roman" w:hAnsi="Times New Roman" w:cs="Times New Roman"/>
          <w:spacing w:val="-11"/>
          <w:sz w:val="24"/>
          <w:szCs w:val="24"/>
        </w:rPr>
        <w:t xml:space="preserve"> </w:t>
      </w:r>
      <w:r w:rsidRPr="00D10655">
        <w:rPr>
          <w:rFonts w:ascii="Times New Roman" w:hAnsi="Times New Roman" w:cs="Times New Roman"/>
          <w:i/>
          <w:sz w:val="24"/>
          <w:szCs w:val="24"/>
        </w:rPr>
        <w:t>Id</w:t>
      </w:r>
      <w:r w:rsidRPr="00D10655">
        <w:rPr>
          <w:rFonts w:ascii="Times New Roman" w:hAnsi="Times New Roman" w:cs="Times New Roman"/>
          <w:sz w:val="24"/>
          <w:szCs w:val="24"/>
        </w:rPr>
        <w:t>.</w:t>
      </w:r>
      <w:r w:rsidRPr="00D10655">
        <w:rPr>
          <w:rFonts w:ascii="Times New Roman" w:hAnsi="Times New Roman" w:cs="Times New Roman"/>
          <w:spacing w:val="-11"/>
          <w:sz w:val="24"/>
          <w:szCs w:val="24"/>
        </w:rPr>
        <w:t xml:space="preserve"> </w:t>
      </w:r>
      <w:r w:rsidRPr="00D10655">
        <w:rPr>
          <w:rFonts w:ascii="Times New Roman" w:hAnsi="Times New Roman" w:cs="Times New Roman"/>
          <w:sz w:val="24"/>
          <w:szCs w:val="24"/>
        </w:rPr>
        <w:t>at</w:t>
      </w:r>
      <w:r w:rsidRPr="00D10655">
        <w:rPr>
          <w:rFonts w:ascii="Times New Roman" w:hAnsi="Times New Roman" w:cs="Times New Roman"/>
          <w:spacing w:val="-10"/>
          <w:sz w:val="24"/>
          <w:szCs w:val="24"/>
        </w:rPr>
        <w:t xml:space="preserve"> </w:t>
      </w:r>
      <w:r w:rsidRPr="00D10655">
        <w:rPr>
          <w:rFonts w:ascii="Times New Roman" w:hAnsi="Times New Roman" w:cs="Times New Roman"/>
          <w:sz w:val="24"/>
          <w:szCs w:val="24"/>
        </w:rPr>
        <w:t>143.</w:t>
      </w:r>
      <w:r w:rsidRPr="00D10655">
        <w:rPr>
          <w:rFonts w:ascii="Times New Roman" w:hAnsi="Times New Roman" w:cs="Times New Roman"/>
          <w:spacing w:val="-11"/>
          <w:sz w:val="24"/>
          <w:szCs w:val="24"/>
        </w:rPr>
        <w:t xml:space="preserve"> </w:t>
      </w:r>
      <w:r w:rsidRPr="00D10655">
        <w:rPr>
          <w:rFonts w:ascii="Times New Roman" w:hAnsi="Times New Roman" w:cs="Times New Roman"/>
          <w:sz w:val="24"/>
          <w:szCs w:val="24"/>
        </w:rPr>
        <w:t>However,</w:t>
      </w:r>
      <w:r w:rsidRPr="00D10655">
        <w:rPr>
          <w:rFonts w:ascii="Times New Roman" w:hAnsi="Times New Roman" w:cs="Times New Roman"/>
          <w:spacing w:val="-11"/>
          <w:sz w:val="24"/>
          <w:szCs w:val="24"/>
        </w:rPr>
        <w:t xml:space="preserve"> </w:t>
      </w:r>
      <w:r w:rsidRPr="00D10655">
        <w:rPr>
          <w:rFonts w:ascii="Times New Roman" w:hAnsi="Times New Roman" w:cs="Times New Roman"/>
          <w:sz w:val="24"/>
          <w:szCs w:val="24"/>
        </w:rPr>
        <w:t>the</w:t>
      </w:r>
      <w:r w:rsidRPr="00D10655">
        <w:rPr>
          <w:rFonts w:ascii="Times New Roman" w:hAnsi="Times New Roman" w:cs="Times New Roman"/>
          <w:spacing w:val="-12"/>
          <w:sz w:val="24"/>
          <w:szCs w:val="24"/>
        </w:rPr>
        <w:t xml:space="preserve"> </w:t>
      </w:r>
      <w:r w:rsidRPr="00D10655">
        <w:rPr>
          <w:rFonts w:ascii="Times New Roman" w:hAnsi="Times New Roman" w:cs="Times New Roman"/>
          <w:sz w:val="24"/>
          <w:szCs w:val="24"/>
        </w:rPr>
        <w:t>district</w:t>
      </w:r>
      <w:r w:rsidRPr="00D10655">
        <w:rPr>
          <w:rFonts w:ascii="Times New Roman" w:hAnsi="Times New Roman" w:cs="Times New Roman"/>
          <w:spacing w:val="-10"/>
          <w:sz w:val="24"/>
          <w:szCs w:val="24"/>
        </w:rPr>
        <w:t xml:space="preserve"> </w:t>
      </w:r>
      <w:r w:rsidRPr="00D10655">
        <w:rPr>
          <w:rFonts w:ascii="Times New Roman" w:hAnsi="Times New Roman" w:cs="Times New Roman"/>
          <w:sz w:val="24"/>
          <w:szCs w:val="24"/>
        </w:rPr>
        <w:t>court</w:t>
      </w:r>
      <w:r w:rsidRPr="00D10655">
        <w:rPr>
          <w:rFonts w:ascii="Times New Roman" w:hAnsi="Times New Roman" w:cs="Times New Roman"/>
          <w:spacing w:val="-10"/>
          <w:sz w:val="24"/>
          <w:szCs w:val="24"/>
        </w:rPr>
        <w:t xml:space="preserve"> </w:t>
      </w:r>
      <w:r w:rsidRPr="00D10655">
        <w:rPr>
          <w:rFonts w:ascii="Times New Roman" w:hAnsi="Times New Roman" w:cs="Times New Roman"/>
          <w:sz w:val="24"/>
          <w:szCs w:val="24"/>
        </w:rPr>
        <w:t>refused</w:t>
      </w:r>
      <w:r w:rsidRPr="00D10655">
        <w:rPr>
          <w:rFonts w:ascii="Times New Roman" w:hAnsi="Times New Roman" w:cs="Times New Roman"/>
          <w:spacing w:val="-11"/>
          <w:sz w:val="24"/>
          <w:szCs w:val="24"/>
        </w:rPr>
        <w:t xml:space="preserve"> </w:t>
      </w:r>
      <w:r w:rsidRPr="00D10655">
        <w:rPr>
          <w:rFonts w:ascii="Times New Roman" w:hAnsi="Times New Roman" w:cs="Times New Roman"/>
          <w:sz w:val="24"/>
          <w:szCs w:val="24"/>
        </w:rPr>
        <w:t>to</w:t>
      </w:r>
      <w:r w:rsidRPr="00D10655">
        <w:rPr>
          <w:rFonts w:ascii="Times New Roman" w:hAnsi="Times New Roman" w:cs="Times New Roman"/>
          <w:spacing w:val="-11"/>
          <w:sz w:val="24"/>
          <w:szCs w:val="24"/>
        </w:rPr>
        <w:t xml:space="preserve"> </w:t>
      </w:r>
      <w:r w:rsidRPr="00D10655">
        <w:rPr>
          <w:rFonts w:ascii="Times New Roman" w:hAnsi="Times New Roman" w:cs="Times New Roman"/>
          <w:sz w:val="24"/>
          <w:szCs w:val="24"/>
        </w:rPr>
        <w:t>admit</w:t>
      </w:r>
      <w:r w:rsidRPr="00D10655">
        <w:rPr>
          <w:rFonts w:ascii="Times New Roman" w:hAnsi="Times New Roman" w:cs="Times New Roman"/>
          <w:spacing w:val="-10"/>
          <w:sz w:val="24"/>
          <w:szCs w:val="24"/>
        </w:rPr>
        <w:t xml:space="preserve"> </w:t>
      </w:r>
      <w:r w:rsidRPr="00D10655">
        <w:rPr>
          <w:rFonts w:ascii="Times New Roman" w:hAnsi="Times New Roman" w:cs="Times New Roman"/>
          <w:sz w:val="24"/>
          <w:szCs w:val="24"/>
        </w:rPr>
        <w:t>the</w:t>
      </w:r>
      <w:r w:rsidRPr="00D10655">
        <w:rPr>
          <w:rFonts w:ascii="Times New Roman" w:hAnsi="Times New Roman" w:cs="Times New Roman"/>
          <w:spacing w:val="-12"/>
          <w:sz w:val="24"/>
          <w:szCs w:val="24"/>
        </w:rPr>
        <w:t xml:space="preserve"> </w:t>
      </w:r>
      <w:r w:rsidRPr="00D10655">
        <w:rPr>
          <w:rFonts w:ascii="Times New Roman" w:hAnsi="Times New Roman" w:cs="Times New Roman"/>
          <w:sz w:val="24"/>
          <w:szCs w:val="24"/>
        </w:rPr>
        <w:t>evidence,</w:t>
      </w:r>
      <w:r w:rsidRPr="00D10655">
        <w:rPr>
          <w:rFonts w:ascii="Times New Roman" w:hAnsi="Times New Roman" w:cs="Times New Roman"/>
          <w:spacing w:val="-11"/>
          <w:sz w:val="24"/>
          <w:szCs w:val="24"/>
        </w:rPr>
        <w:t xml:space="preserve"> </w:t>
      </w:r>
      <w:r w:rsidRPr="00D10655">
        <w:rPr>
          <w:rFonts w:ascii="Times New Roman" w:hAnsi="Times New Roman" w:cs="Times New Roman"/>
          <w:sz w:val="24"/>
          <w:szCs w:val="24"/>
        </w:rPr>
        <w:t xml:space="preserve">finding that the reports upon which Joiner’s experts had relied involved “isolated studies of laboratory animals” – namely, infant mice – who had had massive doses of the chemicals injected directly into their bodies. </w:t>
      </w:r>
      <w:r w:rsidRPr="00D10655">
        <w:rPr>
          <w:rFonts w:ascii="Times New Roman" w:hAnsi="Times New Roman" w:cs="Times New Roman"/>
          <w:i/>
          <w:sz w:val="24"/>
          <w:szCs w:val="24"/>
        </w:rPr>
        <w:t xml:space="preserve">Id. </w:t>
      </w:r>
      <w:r w:rsidRPr="00D10655">
        <w:rPr>
          <w:rFonts w:ascii="Times New Roman" w:hAnsi="Times New Roman" w:cs="Times New Roman"/>
          <w:sz w:val="24"/>
          <w:szCs w:val="24"/>
        </w:rPr>
        <w:t xml:space="preserve">at 143. Further, the Court observed, the cancer in the mice and in Joiner were different. </w:t>
      </w:r>
      <w:r w:rsidRPr="00D10655">
        <w:rPr>
          <w:rFonts w:ascii="Times New Roman" w:hAnsi="Times New Roman" w:cs="Times New Roman"/>
          <w:i/>
          <w:sz w:val="24"/>
          <w:szCs w:val="24"/>
        </w:rPr>
        <w:t>Id</w:t>
      </w:r>
      <w:r w:rsidRPr="00D10655">
        <w:rPr>
          <w:rFonts w:ascii="Times New Roman" w:hAnsi="Times New Roman" w:cs="Times New Roman"/>
          <w:sz w:val="24"/>
          <w:szCs w:val="24"/>
        </w:rPr>
        <w:t xml:space="preserve">. at 144. Finally, the results of two of the four epidemiologic studies offered by the plaintiff were not “statistically significant,” and the remaining two studies involved different chemicals than those at issue in the case. </w:t>
      </w:r>
      <w:r w:rsidRPr="00D10655">
        <w:rPr>
          <w:rFonts w:ascii="Times New Roman" w:hAnsi="Times New Roman" w:cs="Times New Roman"/>
          <w:i/>
          <w:iCs/>
          <w:sz w:val="24"/>
          <w:szCs w:val="24"/>
        </w:rPr>
        <w:t>Id</w:t>
      </w:r>
      <w:r w:rsidRPr="00D10655">
        <w:rPr>
          <w:rFonts w:ascii="Times New Roman" w:hAnsi="Times New Roman" w:cs="Times New Roman"/>
          <w:sz w:val="24"/>
          <w:szCs w:val="24"/>
        </w:rPr>
        <w:t xml:space="preserve">. At 145-46. The Supreme Court observed that while “[t]rained experts commonly extrapolate from existing data,” in </w:t>
      </w:r>
      <w:r w:rsidRPr="00D10655">
        <w:rPr>
          <w:rFonts w:ascii="Times New Roman" w:hAnsi="Times New Roman" w:cs="Times New Roman"/>
          <w:i/>
          <w:iCs/>
          <w:sz w:val="24"/>
          <w:szCs w:val="24"/>
        </w:rPr>
        <w:t>Joiner</w:t>
      </w:r>
      <w:r w:rsidRPr="00D10655">
        <w:rPr>
          <w:rFonts w:ascii="Times New Roman" w:hAnsi="Times New Roman" w:cs="Times New Roman"/>
          <w:sz w:val="24"/>
          <w:szCs w:val="24"/>
        </w:rPr>
        <w:t xml:space="preserve">, the analytical gap between the data and the opinion proffered was simply too great. </w:t>
      </w:r>
      <w:r w:rsidRPr="00D10655">
        <w:rPr>
          <w:rFonts w:ascii="Times New Roman" w:hAnsi="Times New Roman" w:cs="Times New Roman"/>
          <w:i/>
          <w:iCs/>
          <w:sz w:val="24"/>
          <w:szCs w:val="24"/>
        </w:rPr>
        <w:t>Id</w:t>
      </w:r>
      <w:r w:rsidRPr="00D10655">
        <w:rPr>
          <w:rFonts w:ascii="Times New Roman" w:hAnsi="Times New Roman" w:cs="Times New Roman"/>
          <w:sz w:val="24"/>
          <w:szCs w:val="24"/>
        </w:rPr>
        <w:t xml:space="preserve">. </w:t>
      </w:r>
      <w:r w:rsidR="00D41A5E">
        <w:rPr>
          <w:rFonts w:ascii="Times New Roman" w:hAnsi="Times New Roman" w:cs="Times New Roman"/>
          <w:sz w:val="24"/>
          <w:szCs w:val="24"/>
        </w:rPr>
        <w:t>a</w:t>
      </w:r>
      <w:r w:rsidRPr="00D10655">
        <w:rPr>
          <w:rFonts w:ascii="Times New Roman" w:hAnsi="Times New Roman" w:cs="Times New Roman"/>
          <w:sz w:val="24"/>
          <w:szCs w:val="24"/>
        </w:rPr>
        <w:t xml:space="preserve">t 147. </w:t>
      </w:r>
      <w:r w:rsidR="009406AE">
        <w:rPr>
          <w:rFonts w:ascii="Times New Roman" w:hAnsi="Times New Roman" w:cs="Times New Roman"/>
          <w:sz w:val="24"/>
          <w:szCs w:val="24"/>
        </w:rPr>
        <w:t xml:space="preserve">  </w:t>
      </w:r>
    </w:p>
    <w:p w14:paraId="2573912E" w14:textId="77777777" w:rsidR="00175229" w:rsidRDefault="00175229" w:rsidP="00C76306">
      <w:pPr>
        <w:spacing w:after="0" w:line="480" w:lineRule="auto"/>
        <w:ind w:right="134" w:firstLine="720"/>
        <w:jc w:val="both"/>
        <w:rPr>
          <w:rFonts w:ascii="Times New Roman" w:hAnsi="Times New Roman" w:cs="Times New Roman"/>
          <w:sz w:val="24"/>
          <w:szCs w:val="24"/>
        </w:rPr>
      </w:pPr>
    </w:p>
    <w:p w14:paraId="400B4B00" w14:textId="2DD8030D" w:rsidR="00D10655" w:rsidRPr="00D10655" w:rsidRDefault="00D10655" w:rsidP="00D10655">
      <w:pPr>
        <w:pStyle w:val="ListParagraph"/>
        <w:numPr>
          <w:ilvl w:val="1"/>
          <w:numId w:val="8"/>
        </w:numPr>
        <w:spacing w:after="0" w:line="240" w:lineRule="auto"/>
        <w:ind w:left="1685" w:right="130"/>
        <w:jc w:val="both"/>
        <w:rPr>
          <w:rFonts w:ascii="Times New Roman" w:hAnsi="Times New Roman" w:cs="Times New Roman"/>
          <w:b/>
          <w:bCs/>
          <w:sz w:val="24"/>
          <w:szCs w:val="24"/>
        </w:rPr>
      </w:pPr>
      <w:r w:rsidRPr="00D10655">
        <w:rPr>
          <w:rFonts w:ascii="Times New Roman" w:hAnsi="Times New Roman" w:cs="Times New Roman"/>
          <w:b/>
          <w:bCs/>
          <w:sz w:val="24"/>
          <w:szCs w:val="24"/>
        </w:rPr>
        <w:t>FIREARMS AND TOOLMARKS EVIDENCE LACKS FOUNDATIONAL VALIDITY</w:t>
      </w:r>
    </w:p>
    <w:p w14:paraId="55E9D083" w14:textId="77777777" w:rsidR="00D10655" w:rsidRPr="00D10655" w:rsidRDefault="00D10655" w:rsidP="00D10655">
      <w:pPr>
        <w:spacing w:after="0" w:line="240" w:lineRule="auto"/>
        <w:ind w:right="130"/>
        <w:jc w:val="both"/>
        <w:rPr>
          <w:rFonts w:ascii="Times New Roman" w:hAnsi="Times New Roman" w:cs="Times New Roman"/>
          <w:b/>
          <w:bCs/>
          <w:sz w:val="24"/>
          <w:szCs w:val="24"/>
        </w:rPr>
      </w:pPr>
    </w:p>
    <w:p w14:paraId="4859F17B" w14:textId="558545B2" w:rsidR="00C00EEC" w:rsidRDefault="00D10655" w:rsidP="00C00EEC">
      <w:pPr>
        <w:pStyle w:val="BodyText"/>
        <w:spacing w:line="480" w:lineRule="auto"/>
        <w:ind w:right="134" w:firstLine="720"/>
        <w:jc w:val="both"/>
      </w:pPr>
      <w:r w:rsidRPr="00D10655">
        <w:t xml:space="preserve">A reckoning has been underway in forensic disciplines for the last two decades. The advent of sensitive DNA testing has </w:t>
      </w:r>
      <w:r w:rsidR="001649AA">
        <w:t xml:space="preserve">resulted in </w:t>
      </w:r>
      <w:r w:rsidR="001A2445">
        <w:t xml:space="preserve">exonerations, in turn </w:t>
      </w:r>
      <w:r w:rsidRPr="00D10655">
        <w:t>expos</w:t>
      </w:r>
      <w:r w:rsidR="001A2445">
        <w:t>ing</w:t>
      </w:r>
      <w:r w:rsidRPr="00D10655">
        <w:t xml:space="preserve"> numerous flaws in the criminal system</w:t>
      </w:r>
      <w:r w:rsidR="001A2445">
        <w:t xml:space="preserve">. One key area of concern is </w:t>
      </w:r>
      <w:r w:rsidRPr="00D10655">
        <w:t>forensic disciplines</w:t>
      </w:r>
      <w:r w:rsidRPr="00D10655">
        <w:rPr>
          <w:spacing w:val="-13"/>
        </w:rPr>
        <w:t xml:space="preserve"> </w:t>
      </w:r>
      <w:r w:rsidRPr="00D10655">
        <w:t>that</w:t>
      </w:r>
      <w:r w:rsidRPr="00D10655">
        <w:rPr>
          <w:spacing w:val="-13"/>
        </w:rPr>
        <w:t xml:space="preserve"> </w:t>
      </w:r>
      <w:r w:rsidRPr="00D10655">
        <w:t>lack</w:t>
      </w:r>
      <w:r w:rsidRPr="00D10655">
        <w:rPr>
          <w:spacing w:val="-13"/>
        </w:rPr>
        <w:t xml:space="preserve"> </w:t>
      </w:r>
      <w:r w:rsidRPr="00D10655">
        <w:t>foundational</w:t>
      </w:r>
      <w:r w:rsidRPr="00D10655">
        <w:rPr>
          <w:spacing w:val="-13"/>
        </w:rPr>
        <w:t xml:space="preserve"> </w:t>
      </w:r>
      <w:r w:rsidRPr="00D10655">
        <w:t>validity.</w:t>
      </w:r>
      <w:r w:rsidRPr="00D10655">
        <w:rPr>
          <w:spacing w:val="-13"/>
        </w:rPr>
        <w:t xml:space="preserve"> </w:t>
      </w:r>
      <w:r w:rsidRPr="00D10655">
        <w:rPr>
          <w:i/>
        </w:rPr>
        <w:t>See</w:t>
      </w:r>
      <w:r w:rsidRPr="00D10655">
        <w:rPr>
          <w:i/>
          <w:spacing w:val="-14"/>
        </w:rPr>
        <w:t xml:space="preserve"> </w:t>
      </w:r>
      <w:r w:rsidRPr="00D10655">
        <w:t>Sinha,</w:t>
      </w:r>
      <w:r w:rsidRPr="00D10655">
        <w:rPr>
          <w:spacing w:val="-13"/>
        </w:rPr>
        <w:t xml:space="preserve"> </w:t>
      </w:r>
      <w:r w:rsidRPr="00D10655">
        <w:t>Maneka,</w:t>
      </w:r>
      <w:r w:rsidRPr="00D10655">
        <w:rPr>
          <w:spacing w:val="-13"/>
        </w:rPr>
        <w:t xml:space="preserve"> </w:t>
      </w:r>
      <w:r w:rsidRPr="00D10655">
        <w:rPr>
          <w:i/>
        </w:rPr>
        <w:t>Radically</w:t>
      </w:r>
      <w:r w:rsidRPr="00D10655">
        <w:rPr>
          <w:i/>
          <w:spacing w:val="-14"/>
        </w:rPr>
        <w:t xml:space="preserve"> </w:t>
      </w:r>
      <w:r w:rsidRPr="00D10655">
        <w:rPr>
          <w:i/>
        </w:rPr>
        <w:t>Reimagining</w:t>
      </w:r>
      <w:r w:rsidRPr="00D10655">
        <w:rPr>
          <w:i/>
          <w:spacing w:val="-13"/>
        </w:rPr>
        <w:t xml:space="preserve"> </w:t>
      </w:r>
      <w:r w:rsidRPr="00D10655">
        <w:rPr>
          <w:i/>
        </w:rPr>
        <w:t>Forensic</w:t>
      </w:r>
      <w:r w:rsidRPr="00D10655">
        <w:rPr>
          <w:i/>
          <w:spacing w:val="-14"/>
        </w:rPr>
        <w:t xml:space="preserve"> </w:t>
      </w:r>
      <w:r w:rsidRPr="00D10655">
        <w:rPr>
          <w:i/>
        </w:rPr>
        <w:t>Evidence</w:t>
      </w:r>
      <w:r w:rsidRPr="00D10655">
        <w:t>, 73 Alabama Law Review 879, 927 (2022)</w:t>
      </w:r>
      <w:r w:rsidR="00F87A34">
        <w:t>.</w:t>
      </w:r>
      <w:r w:rsidRPr="00D10655">
        <w:t xml:space="preserve"> American courts face an “unpleasant reality that commonly used</w:t>
      </w:r>
      <w:r w:rsidRPr="00D10655">
        <w:rPr>
          <w:spacing w:val="-15"/>
        </w:rPr>
        <w:t xml:space="preserve"> </w:t>
      </w:r>
      <w:r w:rsidRPr="00D10655">
        <w:t>forensic</w:t>
      </w:r>
      <w:r w:rsidRPr="00D10655">
        <w:rPr>
          <w:spacing w:val="-15"/>
        </w:rPr>
        <w:t xml:space="preserve"> </w:t>
      </w:r>
      <w:r w:rsidRPr="00D10655">
        <w:lastRenderedPageBreak/>
        <w:t>techniques</w:t>
      </w:r>
      <w:r w:rsidRPr="00D10655">
        <w:rPr>
          <w:spacing w:val="-15"/>
        </w:rPr>
        <w:t xml:space="preserve"> </w:t>
      </w:r>
      <w:r w:rsidRPr="00D10655">
        <w:t>can</w:t>
      </w:r>
      <w:r w:rsidRPr="00D10655">
        <w:rPr>
          <w:spacing w:val="-15"/>
        </w:rPr>
        <w:t xml:space="preserve"> </w:t>
      </w:r>
      <w:r w:rsidRPr="00D10655">
        <w:t>be</w:t>
      </w:r>
      <w:r w:rsidRPr="00D10655">
        <w:rPr>
          <w:spacing w:val="-15"/>
        </w:rPr>
        <w:t xml:space="preserve"> </w:t>
      </w:r>
      <w:r w:rsidRPr="00D10655">
        <w:t>made</w:t>
      </w:r>
      <w:r w:rsidRPr="00D10655">
        <w:rPr>
          <w:spacing w:val="-15"/>
        </w:rPr>
        <w:t xml:space="preserve"> </w:t>
      </w:r>
      <w:r w:rsidRPr="00D10655">
        <w:t>to</w:t>
      </w:r>
      <w:r w:rsidRPr="00D10655">
        <w:rPr>
          <w:spacing w:val="-15"/>
        </w:rPr>
        <w:t xml:space="preserve"> </w:t>
      </w:r>
      <w:r w:rsidRPr="00D10655">
        <w:t>appear</w:t>
      </w:r>
      <w:r w:rsidRPr="00D10655">
        <w:rPr>
          <w:spacing w:val="-15"/>
        </w:rPr>
        <w:t xml:space="preserve"> </w:t>
      </w:r>
      <w:r w:rsidRPr="00D10655">
        <w:t>admissible</w:t>
      </w:r>
      <w:r w:rsidRPr="00D10655">
        <w:rPr>
          <w:spacing w:val="-15"/>
        </w:rPr>
        <w:t xml:space="preserve"> </w:t>
      </w:r>
      <w:r w:rsidRPr="00D10655">
        <w:t>by</w:t>
      </w:r>
      <w:r w:rsidRPr="00D10655">
        <w:rPr>
          <w:spacing w:val="-15"/>
        </w:rPr>
        <w:t xml:space="preserve"> </w:t>
      </w:r>
      <w:r w:rsidRPr="00D10655">
        <w:t>wrapping</w:t>
      </w:r>
      <w:r w:rsidRPr="00D10655">
        <w:rPr>
          <w:spacing w:val="-15"/>
        </w:rPr>
        <w:t xml:space="preserve"> </w:t>
      </w:r>
      <w:r w:rsidRPr="00D10655">
        <w:t>them</w:t>
      </w:r>
      <w:r w:rsidRPr="00D10655">
        <w:rPr>
          <w:spacing w:val="-15"/>
        </w:rPr>
        <w:t xml:space="preserve"> </w:t>
      </w:r>
      <w:r w:rsidRPr="00D10655">
        <w:t>in</w:t>
      </w:r>
      <w:r w:rsidRPr="00D10655">
        <w:rPr>
          <w:spacing w:val="-15"/>
        </w:rPr>
        <w:t xml:space="preserve"> </w:t>
      </w:r>
      <w:r w:rsidRPr="00D10655">
        <w:t>the</w:t>
      </w:r>
      <w:r w:rsidRPr="00D10655">
        <w:rPr>
          <w:spacing w:val="-15"/>
        </w:rPr>
        <w:t xml:space="preserve"> </w:t>
      </w:r>
      <w:r w:rsidRPr="00D10655">
        <w:t>trappings</w:t>
      </w:r>
      <w:r w:rsidRPr="00D10655">
        <w:rPr>
          <w:spacing w:val="-15"/>
        </w:rPr>
        <w:t xml:space="preserve"> </w:t>
      </w:r>
      <w:r w:rsidRPr="00D10655">
        <w:t>of</w:t>
      </w:r>
      <w:r w:rsidRPr="00D10655">
        <w:rPr>
          <w:spacing w:val="-15"/>
        </w:rPr>
        <w:t xml:space="preserve"> </w:t>
      </w:r>
      <w:r w:rsidRPr="00D10655">
        <w:t>science— as</w:t>
      </w:r>
      <w:r w:rsidRPr="00D10655">
        <w:rPr>
          <w:spacing w:val="-5"/>
        </w:rPr>
        <w:t xml:space="preserve"> </w:t>
      </w:r>
      <w:r w:rsidRPr="00D10655">
        <w:t>laid</w:t>
      </w:r>
      <w:r w:rsidRPr="00D10655">
        <w:rPr>
          <w:spacing w:val="-5"/>
        </w:rPr>
        <w:t xml:space="preserve"> </w:t>
      </w:r>
      <w:r w:rsidRPr="00D10655">
        <w:t>out</w:t>
      </w:r>
      <w:r w:rsidRPr="00D10655">
        <w:rPr>
          <w:spacing w:val="-2"/>
        </w:rPr>
        <w:t xml:space="preserve"> </w:t>
      </w:r>
      <w:r w:rsidRPr="00D10655">
        <w:t>by</w:t>
      </w:r>
      <w:r w:rsidRPr="00D10655">
        <w:rPr>
          <w:spacing w:val="-5"/>
        </w:rPr>
        <w:t xml:space="preserve"> </w:t>
      </w:r>
      <w:r w:rsidRPr="00D10655">
        <w:t>relevant</w:t>
      </w:r>
      <w:r w:rsidRPr="00D10655">
        <w:rPr>
          <w:spacing w:val="-2"/>
        </w:rPr>
        <w:t xml:space="preserve"> </w:t>
      </w:r>
      <w:r w:rsidRPr="00D10655">
        <w:t>admissibility</w:t>
      </w:r>
      <w:r w:rsidRPr="00D10655">
        <w:rPr>
          <w:spacing w:val="-5"/>
        </w:rPr>
        <w:t xml:space="preserve"> </w:t>
      </w:r>
      <w:r w:rsidRPr="00D10655">
        <w:t>standards—even</w:t>
      </w:r>
      <w:r w:rsidRPr="00D10655">
        <w:rPr>
          <w:spacing w:val="-5"/>
        </w:rPr>
        <w:t xml:space="preserve"> </w:t>
      </w:r>
      <w:r w:rsidRPr="00D10655">
        <w:t>when</w:t>
      </w:r>
      <w:r w:rsidRPr="00D10655">
        <w:rPr>
          <w:spacing w:val="-2"/>
        </w:rPr>
        <w:t xml:space="preserve"> </w:t>
      </w:r>
      <w:r w:rsidRPr="00D10655">
        <w:t>what</w:t>
      </w:r>
      <w:r w:rsidRPr="00D10655">
        <w:rPr>
          <w:spacing w:val="-4"/>
        </w:rPr>
        <w:t xml:space="preserve"> </w:t>
      </w:r>
      <w:r w:rsidRPr="00D10655">
        <w:t>lies</w:t>
      </w:r>
      <w:r w:rsidRPr="00D10655">
        <w:rPr>
          <w:spacing w:val="-5"/>
        </w:rPr>
        <w:t xml:space="preserve"> </w:t>
      </w:r>
      <w:r w:rsidRPr="00D10655">
        <w:t>beneath</w:t>
      </w:r>
      <w:r w:rsidRPr="00D10655">
        <w:rPr>
          <w:spacing w:val="-5"/>
        </w:rPr>
        <w:t xml:space="preserve"> </w:t>
      </w:r>
      <w:r w:rsidRPr="00D10655">
        <w:t>has</w:t>
      </w:r>
      <w:r w:rsidRPr="00D10655">
        <w:rPr>
          <w:spacing w:val="-5"/>
        </w:rPr>
        <w:t xml:space="preserve"> </w:t>
      </w:r>
      <w:r w:rsidRPr="00D10655">
        <w:t>hardly</w:t>
      </w:r>
      <w:r w:rsidRPr="00D10655">
        <w:rPr>
          <w:spacing w:val="-5"/>
        </w:rPr>
        <w:t xml:space="preserve"> </w:t>
      </w:r>
      <w:r w:rsidRPr="00D10655">
        <w:t>been</w:t>
      </w:r>
      <w:r w:rsidRPr="00D10655">
        <w:rPr>
          <w:spacing w:val="-2"/>
        </w:rPr>
        <w:t xml:space="preserve"> </w:t>
      </w:r>
      <w:r w:rsidRPr="00D10655">
        <w:t>established as reliable science.”</w:t>
      </w:r>
      <w:r w:rsidR="00F87A34">
        <w:t xml:space="preserve"> </w:t>
      </w:r>
      <w:r w:rsidR="00F87A34">
        <w:rPr>
          <w:i/>
          <w:iCs/>
        </w:rPr>
        <w:t>Id</w:t>
      </w:r>
      <w:r w:rsidRPr="00D10655">
        <w:t>. Innocent people have spent thousands of</w:t>
      </w:r>
      <w:r w:rsidRPr="00D10655">
        <w:rPr>
          <w:spacing w:val="-1"/>
        </w:rPr>
        <w:t xml:space="preserve"> </w:t>
      </w:r>
      <w:r w:rsidRPr="00D10655">
        <w:t>years behind bars in this country because of uncritical and reflexive admission of junk science in criminal cases.</w:t>
      </w:r>
      <w:r w:rsidR="00C00EEC">
        <w:t xml:space="preserve"> </w:t>
      </w:r>
    </w:p>
    <w:p w14:paraId="258BF736" w14:textId="5EEE4F89" w:rsidR="00C00EEC" w:rsidRDefault="00C00EEC" w:rsidP="00C00EEC">
      <w:pPr>
        <w:pStyle w:val="BodyText"/>
        <w:spacing w:line="480" w:lineRule="auto"/>
        <w:ind w:right="134"/>
        <w:jc w:val="both"/>
      </w:pPr>
      <w:r>
        <w:tab/>
        <w:t>The critique of firearm and toolmarks evidence has been especially pronounced, repeated, and severe. The National Academy of Sciences</w:t>
      </w:r>
      <w:r w:rsidR="00E76E97">
        <w:t xml:space="preserve"> (“NAS”)</w:t>
      </w:r>
      <w:r>
        <w:t>, funded by the U</w:t>
      </w:r>
      <w:r w:rsidR="00175229">
        <w:t xml:space="preserve">nited </w:t>
      </w:r>
      <w:r>
        <w:t>S</w:t>
      </w:r>
      <w:r w:rsidR="00175229">
        <w:t>tates</w:t>
      </w:r>
      <w:r>
        <w:t xml:space="preserve"> Department of Justice, released a watershed report in 2009 entitled </w:t>
      </w:r>
      <w:r>
        <w:rPr>
          <w:i/>
          <w:iCs/>
        </w:rPr>
        <w:t>Strengthening Forensic Science in the United States: A Path Forward</w:t>
      </w:r>
      <w:r>
        <w:t xml:space="preserve">, which provided the first </w:t>
      </w:r>
      <w:r w:rsidR="007476AB">
        <w:t>scientific survey</w:t>
      </w:r>
      <w:r>
        <w:t xml:space="preserve"> of the foundational validity of many forensic disciplines. </w:t>
      </w:r>
      <w:r w:rsidR="00E76E97">
        <w:t xml:space="preserve">Committee on Identifying the Needs of the Forensic Sciences Community, </w:t>
      </w:r>
      <w:r w:rsidR="00175229">
        <w:t xml:space="preserve">National </w:t>
      </w:r>
      <w:r w:rsidR="00E76E97">
        <w:t>Research Council</w:t>
      </w:r>
      <w:r w:rsidR="00175229">
        <w:t xml:space="preserve">, </w:t>
      </w:r>
      <w:r w:rsidR="00175229">
        <w:rPr>
          <w:i/>
          <w:iCs/>
        </w:rPr>
        <w:t>Strengthening Forensic Science in the United States: A Path Forward</w:t>
      </w:r>
      <w:r w:rsidR="00E76E97">
        <w:t xml:space="preserve"> (Washington, DC: National Academies Press, 2009) (herein after referred to as “NAS Report”)</w:t>
      </w:r>
      <w:r>
        <w:t>.</w:t>
      </w:r>
      <w:r>
        <w:rPr>
          <w:rStyle w:val="FootnoteReference"/>
        </w:rPr>
        <w:footnoteReference w:id="1"/>
      </w:r>
      <w:r>
        <w:t xml:space="preserve"> The foundational theory of firearms and toolmark examination is that because of inherent defects in the manufacturing process, no two barrels or firing pins will impart the same markings</w:t>
      </w:r>
      <w:r>
        <w:rPr>
          <w:spacing w:val="-9"/>
        </w:rPr>
        <w:t xml:space="preserve"> </w:t>
      </w:r>
      <w:r>
        <w:t>on</w:t>
      </w:r>
      <w:r>
        <w:rPr>
          <w:spacing w:val="-10"/>
        </w:rPr>
        <w:t xml:space="preserve"> </w:t>
      </w:r>
      <w:r>
        <w:t>bullets</w:t>
      </w:r>
      <w:r>
        <w:rPr>
          <w:spacing w:val="-9"/>
        </w:rPr>
        <w:t xml:space="preserve"> </w:t>
      </w:r>
      <w:r>
        <w:t>or</w:t>
      </w:r>
      <w:r>
        <w:rPr>
          <w:spacing w:val="-8"/>
        </w:rPr>
        <w:t xml:space="preserve"> </w:t>
      </w:r>
      <w:r>
        <w:t>cartridge</w:t>
      </w:r>
      <w:r>
        <w:rPr>
          <w:spacing w:val="-11"/>
        </w:rPr>
        <w:t xml:space="preserve"> </w:t>
      </w:r>
      <w:r>
        <w:t>casings.</w:t>
      </w:r>
      <w:r>
        <w:rPr>
          <w:spacing w:val="-10"/>
        </w:rPr>
        <w:t xml:space="preserve"> </w:t>
      </w:r>
      <w:r>
        <w:rPr>
          <w:i/>
          <w:sz w:val="23"/>
        </w:rPr>
        <w:t>United</w:t>
      </w:r>
      <w:r>
        <w:rPr>
          <w:i/>
          <w:spacing w:val="-7"/>
          <w:sz w:val="23"/>
        </w:rPr>
        <w:t xml:space="preserve"> </w:t>
      </w:r>
      <w:r>
        <w:rPr>
          <w:i/>
          <w:sz w:val="23"/>
        </w:rPr>
        <w:t>States</w:t>
      </w:r>
      <w:r>
        <w:rPr>
          <w:i/>
          <w:spacing w:val="-10"/>
          <w:sz w:val="23"/>
        </w:rPr>
        <w:t xml:space="preserve"> </w:t>
      </w:r>
      <w:r w:rsidR="007476AB">
        <w:rPr>
          <w:i/>
          <w:sz w:val="23"/>
        </w:rPr>
        <w:t>v</w:t>
      </w:r>
      <w:r>
        <w:rPr>
          <w:i/>
          <w:spacing w:val="-7"/>
          <w:sz w:val="23"/>
        </w:rPr>
        <w:t xml:space="preserve"> </w:t>
      </w:r>
      <w:r>
        <w:rPr>
          <w:i/>
          <w:sz w:val="23"/>
        </w:rPr>
        <w:t>Otero</w:t>
      </w:r>
      <w:r>
        <w:rPr>
          <w:sz w:val="23"/>
        </w:rPr>
        <w:t>,</w:t>
      </w:r>
      <w:r>
        <w:rPr>
          <w:spacing w:val="-7"/>
          <w:sz w:val="23"/>
        </w:rPr>
        <w:t xml:space="preserve"> </w:t>
      </w:r>
      <w:r>
        <w:rPr>
          <w:sz w:val="23"/>
        </w:rPr>
        <w:t>849</w:t>
      </w:r>
      <w:r>
        <w:rPr>
          <w:spacing w:val="-10"/>
          <w:sz w:val="23"/>
        </w:rPr>
        <w:t xml:space="preserve"> </w:t>
      </w:r>
      <w:r>
        <w:rPr>
          <w:sz w:val="23"/>
        </w:rPr>
        <w:t>F</w:t>
      </w:r>
      <w:r>
        <w:rPr>
          <w:spacing w:val="-7"/>
          <w:sz w:val="23"/>
        </w:rPr>
        <w:t xml:space="preserve"> </w:t>
      </w:r>
      <w:r>
        <w:rPr>
          <w:sz w:val="23"/>
        </w:rPr>
        <w:t>Supp</w:t>
      </w:r>
      <w:r>
        <w:rPr>
          <w:spacing w:val="-10"/>
          <w:sz w:val="23"/>
        </w:rPr>
        <w:t xml:space="preserve"> </w:t>
      </w:r>
      <w:r>
        <w:rPr>
          <w:sz w:val="23"/>
        </w:rPr>
        <w:t>2d</w:t>
      </w:r>
      <w:r>
        <w:rPr>
          <w:spacing w:val="-7"/>
          <w:sz w:val="23"/>
        </w:rPr>
        <w:t xml:space="preserve"> </w:t>
      </w:r>
      <w:r>
        <w:rPr>
          <w:sz w:val="23"/>
        </w:rPr>
        <w:t>425,</w:t>
      </w:r>
      <w:r>
        <w:rPr>
          <w:spacing w:val="-10"/>
          <w:sz w:val="23"/>
        </w:rPr>
        <w:t xml:space="preserve"> </w:t>
      </w:r>
      <w:r>
        <w:rPr>
          <w:sz w:val="23"/>
        </w:rPr>
        <w:t>427–28</w:t>
      </w:r>
      <w:r>
        <w:rPr>
          <w:spacing w:val="-10"/>
          <w:sz w:val="23"/>
        </w:rPr>
        <w:t xml:space="preserve"> </w:t>
      </w:r>
      <w:r>
        <w:rPr>
          <w:sz w:val="23"/>
        </w:rPr>
        <w:t>(DNJ</w:t>
      </w:r>
      <w:r>
        <w:rPr>
          <w:spacing w:val="-7"/>
          <w:sz w:val="23"/>
        </w:rPr>
        <w:t xml:space="preserve"> </w:t>
      </w:r>
      <w:r>
        <w:rPr>
          <w:sz w:val="23"/>
        </w:rPr>
        <w:t xml:space="preserve">2012). </w:t>
      </w:r>
      <w:r>
        <w:t>Notably,</w:t>
      </w:r>
      <w:r>
        <w:rPr>
          <w:spacing w:val="-5"/>
        </w:rPr>
        <w:t xml:space="preserve"> </w:t>
      </w:r>
      <w:r>
        <w:t>the</w:t>
      </w:r>
      <w:r>
        <w:rPr>
          <w:spacing w:val="-6"/>
        </w:rPr>
        <w:t xml:space="preserve"> </w:t>
      </w:r>
      <w:r>
        <w:t>NAS</w:t>
      </w:r>
      <w:r>
        <w:rPr>
          <w:spacing w:val="-4"/>
        </w:rPr>
        <w:t xml:space="preserve"> </w:t>
      </w:r>
      <w:r>
        <w:t>report</w:t>
      </w:r>
      <w:r>
        <w:rPr>
          <w:spacing w:val="-2"/>
        </w:rPr>
        <w:t xml:space="preserve"> </w:t>
      </w:r>
      <w:r>
        <w:t>found</w:t>
      </w:r>
      <w:r>
        <w:rPr>
          <w:spacing w:val="-5"/>
        </w:rPr>
        <w:t xml:space="preserve"> </w:t>
      </w:r>
      <w:r>
        <w:t>that</w:t>
      </w:r>
      <w:r>
        <w:rPr>
          <w:spacing w:val="-4"/>
        </w:rPr>
        <w:t xml:space="preserve"> </w:t>
      </w:r>
      <w:r>
        <w:t>“the</w:t>
      </w:r>
      <w:r>
        <w:rPr>
          <w:spacing w:val="-6"/>
        </w:rPr>
        <w:t xml:space="preserve"> </w:t>
      </w:r>
      <w:r>
        <w:t>decision</w:t>
      </w:r>
      <w:r>
        <w:rPr>
          <w:spacing w:val="-2"/>
        </w:rPr>
        <w:t xml:space="preserve"> </w:t>
      </w:r>
      <w:r>
        <w:t>of</w:t>
      </w:r>
      <w:r>
        <w:rPr>
          <w:spacing w:val="-6"/>
        </w:rPr>
        <w:t xml:space="preserve"> </w:t>
      </w:r>
      <w:r>
        <w:t>the</w:t>
      </w:r>
      <w:r>
        <w:rPr>
          <w:spacing w:val="-6"/>
        </w:rPr>
        <w:t xml:space="preserve"> </w:t>
      </w:r>
      <w:r>
        <w:t>toolmark</w:t>
      </w:r>
      <w:r>
        <w:rPr>
          <w:spacing w:val="-5"/>
        </w:rPr>
        <w:t xml:space="preserve"> </w:t>
      </w:r>
      <w:r>
        <w:t>examiner</w:t>
      </w:r>
      <w:r>
        <w:rPr>
          <w:spacing w:val="-3"/>
        </w:rPr>
        <w:t xml:space="preserve"> </w:t>
      </w:r>
      <w:r>
        <w:t>remains</w:t>
      </w:r>
      <w:r>
        <w:rPr>
          <w:spacing w:val="-5"/>
        </w:rPr>
        <w:t xml:space="preserve"> </w:t>
      </w:r>
      <w:r>
        <w:t>a</w:t>
      </w:r>
      <w:r>
        <w:rPr>
          <w:spacing w:val="-6"/>
        </w:rPr>
        <w:t xml:space="preserve"> </w:t>
      </w:r>
      <w:r>
        <w:t>subjective</w:t>
      </w:r>
      <w:r>
        <w:rPr>
          <w:spacing w:val="-6"/>
        </w:rPr>
        <w:t xml:space="preserve"> </w:t>
      </w:r>
      <w:r>
        <w:t>decision based</w:t>
      </w:r>
      <w:r>
        <w:rPr>
          <w:spacing w:val="-6"/>
        </w:rPr>
        <w:t xml:space="preserve"> </w:t>
      </w:r>
      <w:r>
        <w:t>on</w:t>
      </w:r>
      <w:r>
        <w:rPr>
          <w:spacing w:val="-3"/>
        </w:rPr>
        <w:t xml:space="preserve"> </w:t>
      </w:r>
      <w:r>
        <w:t>unarticulated</w:t>
      </w:r>
      <w:r>
        <w:rPr>
          <w:spacing w:val="-6"/>
        </w:rPr>
        <w:t xml:space="preserve"> </w:t>
      </w:r>
      <w:r>
        <w:t>standards</w:t>
      </w:r>
      <w:r>
        <w:rPr>
          <w:spacing w:val="-3"/>
        </w:rPr>
        <w:t xml:space="preserve"> </w:t>
      </w:r>
      <w:r>
        <w:t>and</w:t>
      </w:r>
      <w:r>
        <w:rPr>
          <w:spacing w:val="-6"/>
        </w:rPr>
        <w:t xml:space="preserve"> </w:t>
      </w:r>
      <w:r>
        <w:t>no</w:t>
      </w:r>
      <w:r>
        <w:rPr>
          <w:spacing w:val="-3"/>
        </w:rPr>
        <w:t xml:space="preserve"> </w:t>
      </w:r>
      <w:r>
        <w:t>statistical</w:t>
      </w:r>
      <w:r>
        <w:rPr>
          <w:spacing w:val="-3"/>
        </w:rPr>
        <w:t xml:space="preserve"> </w:t>
      </w:r>
      <w:r>
        <w:t>foundation</w:t>
      </w:r>
      <w:r>
        <w:rPr>
          <w:spacing w:val="-3"/>
        </w:rPr>
        <w:t xml:space="preserve"> </w:t>
      </w:r>
      <w:r>
        <w:t>for</w:t>
      </w:r>
      <w:r>
        <w:rPr>
          <w:spacing w:val="-4"/>
        </w:rPr>
        <w:t xml:space="preserve"> </w:t>
      </w:r>
      <w:r>
        <w:t>estimation</w:t>
      </w:r>
      <w:r>
        <w:rPr>
          <w:spacing w:val="-6"/>
        </w:rPr>
        <w:t xml:space="preserve"> </w:t>
      </w:r>
      <w:r>
        <w:t>of</w:t>
      </w:r>
      <w:r>
        <w:rPr>
          <w:spacing w:val="-4"/>
        </w:rPr>
        <w:t xml:space="preserve"> </w:t>
      </w:r>
      <w:r>
        <w:t>error</w:t>
      </w:r>
      <w:r>
        <w:rPr>
          <w:spacing w:val="-6"/>
        </w:rPr>
        <w:t xml:space="preserve"> </w:t>
      </w:r>
      <w:r>
        <w:t>rates.”</w:t>
      </w:r>
      <w:r>
        <w:rPr>
          <w:spacing w:val="-4"/>
        </w:rPr>
        <w:t xml:space="preserve"> </w:t>
      </w:r>
      <w:r>
        <w:t>NAS</w:t>
      </w:r>
      <w:r>
        <w:rPr>
          <w:spacing w:val="-5"/>
        </w:rPr>
        <w:t xml:space="preserve"> </w:t>
      </w:r>
      <w:r>
        <w:t xml:space="preserve">Report, pp.153-154. It found “the lack of a precisely defined process” and the absence of professional associations, “specific protocol[s]” which do “not even consider, let alone address, questions regarding variability, reliability, repeatability, or the number of correlations needed to achieve a given degree of confidence.” NAS Report, pp. 154-155. In tandem with the lack of research, the NAS Report concluded that the “validity” of the “fundamental assumptions” of firearm and toolmark </w:t>
      </w:r>
      <w:r>
        <w:lastRenderedPageBreak/>
        <w:t xml:space="preserve">examination </w:t>
      </w:r>
      <w:r w:rsidR="0025499A">
        <w:t xml:space="preserve">has </w:t>
      </w:r>
      <w:r>
        <w:t xml:space="preserve">“not yet been fully demonstrated.” NAS Report, 154. </w:t>
      </w:r>
    </w:p>
    <w:p w14:paraId="3B12DCA8" w14:textId="2B60EC67" w:rsidR="00C00EEC" w:rsidRDefault="00C00EEC" w:rsidP="00C00EEC">
      <w:pPr>
        <w:pStyle w:val="BodyText"/>
        <w:spacing w:line="480" w:lineRule="auto"/>
        <w:ind w:right="134"/>
        <w:jc w:val="both"/>
        <w:rPr>
          <w:spacing w:val="-35"/>
        </w:rPr>
      </w:pPr>
      <w:r>
        <w:tab/>
        <w:t xml:space="preserve">Seven years later, </w:t>
      </w:r>
      <w:r w:rsidR="00313999">
        <w:t>firearm and toolmark examination was addressed again in a report to the President by his Council of Advisors on Science and Technology, or PCAST.</w:t>
      </w:r>
      <w:r w:rsidR="00313999">
        <w:rPr>
          <w:rStyle w:val="FootnoteReference"/>
        </w:rPr>
        <w:footnoteReference w:id="2"/>
      </w:r>
      <w:r w:rsidR="00313999">
        <w:t xml:space="preserve"> The intervening seven years did little, if nothing, to address the critiques of the NAS Report. PCAST was tasked with determining whether additional steps should be taken, “beyond those already taken by the Administration</w:t>
      </w:r>
      <w:r w:rsidR="00313999">
        <w:rPr>
          <w:spacing w:val="-5"/>
        </w:rPr>
        <w:t xml:space="preserve"> </w:t>
      </w:r>
      <w:r w:rsidR="00313999">
        <w:t>in</w:t>
      </w:r>
      <w:r w:rsidR="00313999">
        <w:rPr>
          <w:spacing w:val="-5"/>
        </w:rPr>
        <w:t xml:space="preserve"> </w:t>
      </w:r>
      <w:r w:rsidR="00313999">
        <w:t>the</w:t>
      </w:r>
      <w:r w:rsidR="00313999">
        <w:rPr>
          <w:spacing w:val="-6"/>
        </w:rPr>
        <w:t xml:space="preserve"> </w:t>
      </w:r>
      <w:r w:rsidR="00313999">
        <w:t>aftermath</w:t>
      </w:r>
      <w:r w:rsidR="00313999">
        <w:rPr>
          <w:spacing w:val="-5"/>
        </w:rPr>
        <w:t xml:space="preserve"> </w:t>
      </w:r>
      <w:r w:rsidR="00313999">
        <w:t>of</w:t>
      </w:r>
      <w:r w:rsidR="00313999">
        <w:rPr>
          <w:spacing w:val="-3"/>
        </w:rPr>
        <w:t xml:space="preserve"> </w:t>
      </w:r>
      <w:r w:rsidR="00313999">
        <w:t>a</w:t>
      </w:r>
      <w:r w:rsidR="00313999">
        <w:rPr>
          <w:spacing w:val="-6"/>
        </w:rPr>
        <w:t xml:space="preserve"> </w:t>
      </w:r>
      <w:r w:rsidR="00313999">
        <w:t>highly</w:t>
      </w:r>
      <w:r w:rsidR="00313999">
        <w:rPr>
          <w:spacing w:val="-5"/>
        </w:rPr>
        <w:t xml:space="preserve"> </w:t>
      </w:r>
      <w:r w:rsidR="00313999">
        <w:t>critical</w:t>
      </w:r>
      <w:r w:rsidR="00313999">
        <w:rPr>
          <w:spacing w:val="-4"/>
        </w:rPr>
        <w:t xml:space="preserve"> </w:t>
      </w:r>
      <w:r w:rsidR="00313999">
        <w:t>2009</w:t>
      </w:r>
      <w:r w:rsidR="00313999">
        <w:rPr>
          <w:spacing w:val="-5"/>
        </w:rPr>
        <w:t xml:space="preserve"> </w:t>
      </w:r>
      <w:r w:rsidR="00313999">
        <w:t>National</w:t>
      </w:r>
      <w:r w:rsidR="00313999">
        <w:rPr>
          <w:spacing w:val="-4"/>
        </w:rPr>
        <w:t xml:space="preserve"> </w:t>
      </w:r>
      <w:r w:rsidR="00313999">
        <w:t>Research</w:t>
      </w:r>
      <w:r w:rsidR="00313999">
        <w:rPr>
          <w:spacing w:val="-3"/>
        </w:rPr>
        <w:t xml:space="preserve"> </w:t>
      </w:r>
      <w:r w:rsidR="00313999">
        <w:t>Council</w:t>
      </w:r>
      <w:r w:rsidR="00313999">
        <w:rPr>
          <w:spacing w:val="-4"/>
        </w:rPr>
        <w:t xml:space="preserve"> </w:t>
      </w:r>
      <w:r w:rsidR="00313999">
        <w:t>report</w:t>
      </w:r>
      <w:r w:rsidR="00313999">
        <w:rPr>
          <w:spacing w:val="-4"/>
        </w:rPr>
        <w:t xml:space="preserve"> </w:t>
      </w:r>
      <w:r w:rsidR="00313999">
        <w:t>on</w:t>
      </w:r>
      <w:r w:rsidR="00313999">
        <w:rPr>
          <w:spacing w:val="-5"/>
        </w:rPr>
        <w:t xml:space="preserve"> </w:t>
      </w:r>
      <w:r w:rsidR="00313999">
        <w:t>the</w:t>
      </w:r>
      <w:r w:rsidR="00313999">
        <w:rPr>
          <w:spacing w:val="-3"/>
        </w:rPr>
        <w:t xml:space="preserve"> </w:t>
      </w:r>
      <w:r w:rsidR="00313999">
        <w:t>state</w:t>
      </w:r>
      <w:r w:rsidR="00313999">
        <w:rPr>
          <w:spacing w:val="-6"/>
        </w:rPr>
        <w:t xml:space="preserve"> </w:t>
      </w:r>
      <w:r w:rsidR="00313999">
        <w:t>of the</w:t>
      </w:r>
      <w:r w:rsidR="00313999">
        <w:rPr>
          <w:spacing w:val="7"/>
        </w:rPr>
        <w:t xml:space="preserve"> </w:t>
      </w:r>
      <w:r w:rsidR="00313999">
        <w:t>forensic</w:t>
      </w:r>
      <w:r w:rsidR="00313999">
        <w:rPr>
          <w:spacing w:val="9"/>
        </w:rPr>
        <w:t xml:space="preserve"> </w:t>
      </w:r>
      <w:r w:rsidR="00313999">
        <w:t>sciences,</w:t>
      </w:r>
      <w:r w:rsidR="00313999">
        <w:rPr>
          <w:spacing w:val="10"/>
        </w:rPr>
        <w:t xml:space="preserve"> </w:t>
      </w:r>
      <w:r w:rsidR="00313999">
        <w:t>that</w:t>
      </w:r>
      <w:r w:rsidR="00313999">
        <w:rPr>
          <w:spacing w:val="11"/>
        </w:rPr>
        <w:t xml:space="preserve"> </w:t>
      </w:r>
      <w:r w:rsidR="00313999">
        <w:t>could</w:t>
      </w:r>
      <w:r w:rsidR="00313999">
        <w:rPr>
          <w:spacing w:val="10"/>
        </w:rPr>
        <w:t xml:space="preserve"> </w:t>
      </w:r>
      <w:r w:rsidR="00313999">
        <w:t>help</w:t>
      </w:r>
      <w:r w:rsidR="00313999">
        <w:rPr>
          <w:spacing w:val="10"/>
        </w:rPr>
        <w:t xml:space="preserve"> </w:t>
      </w:r>
      <w:r w:rsidR="00313999">
        <w:t>ensure</w:t>
      </w:r>
      <w:r w:rsidR="00313999">
        <w:rPr>
          <w:spacing w:val="9"/>
        </w:rPr>
        <w:t xml:space="preserve"> </w:t>
      </w:r>
      <w:r w:rsidR="00313999">
        <w:t>the</w:t>
      </w:r>
      <w:r w:rsidR="00313999">
        <w:rPr>
          <w:spacing w:val="10"/>
        </w:rPr>
        <w:t xml:space="preserve"> </w:t>
      </w:r>
      <w:r w:rsidR="00313999">
        <w:t>validity</w:t>
      </w:r>
      <w:r w:rsidR="00313999">
        <w:rPr>
          <w:spacing w:val="10"/>
        </w:rPr>
        <w:t xml:space="preserve"> </w:t>
      </w:r>
      <w:r w:rsidR="00313999">
        <w:t>of</w:t>
      </w:r>
      <w:r w:rsidR="00313999">
        <w:rPr>
          <w:spacing w:val="9"/>
        </w:rPr>
        <w:t xml:space="preserve"> </w:t>
      </w:r>
      <w:r w:rsidR="00313999">
        <w:t>forensic</w:t>
      </w:r>
      <w:r w:rsidR="00313999">
        <w:rPr>
          <w:spacing w:val="9"/>
        </w:rPr>
        <w:t xml:space="preserve"> </w:t>
      </w:r>
      <w:r w:rsidR="00313999">
        <w:t>evidence</w:t>
      </w:r>
      <w:r w:rsidR="00313999">
        <w:rPr>
          <w:spacing w:val="10"/>
        </w:rPr>
        <w:t xml:space="preserve"> </w:t>
      </w:r>
      <w:r w:rsidR="00313999">
        <w:t>used</w:t>
      </w:r>
      <w:r w:rsidR="00313999">
        <w:rPr>
          <w:spacing w:val="10"/>
        </w:rPr>
        <w:t xml:space="preserve"> </w:t>
      </w:r>
      <w:r w:rsidR="00313999">
        <w:t>in</w:t>
      </w:r>
      <w:r w:rsidR="00313999">
        <w:rPr>
          <w:spacing w:val="10"/>
        </w:rPr>
        <w:t xml:space="preserve"> </w:t>
      </w:r>
      <w:r w:rsidR="00313999">
        <w:t>the</w:t>
      </w:r>
      <w:r w:rsidR="00313999">
        <w:rPr>
          <w:spacing w:val="9"/>
        </w:rPr>
        <w:t xml:space="preserve"> </w:t>
      </w:r>
      <w:r w:rsidR="00313999">
        <w:t>Nation’s</w:t>
      </w:r>
      <w:r w:rsidR="00313999">
        <w:rPr>
          <w:spacing w:val="11"/>
        </w:rPr>
        <w:t xml:space="preserve"> </w:t>
      </w:r>
      <w:r w:rsidR="00313999">
        <w:rPr>
          <w:spacing w:val="-2"/>
        </w:rPr>
        <w:t xml:space="preserve">legal </w:t>
      </w:r>
      <w:r w:rsidR="00313999">
        <w:t>system.”</w:t>
      </w:r>
      <w:r w:rsidR="00313999">
        <w:rPr>
          <w:rStyle w:val="FootnoteReference"/>
        </w:rPr>
        <w:footnoteReference w:id="3"/>
      </w:r>
      <w:r w:rsidR="00313999">
        <w:t xml:space="preserve"> The report offers recommendations to the National Institutes of Standards and Technology (“NIST”), the White House, the FBI, the Attorney General, and the judiciary on “actions that could be taken to strengthen forensic science and promote its rigorous use in the courtroom.</w:t>
      </w:r>
      <w:r w:rsidR="00313999">
        <w:rPr>
          <w:rStyle w:val="FootnoteReference"/>
        </w:rPr>
        <w:footnoteReference w:id="4"/>
      </w:r>
      <w:r w:rsidR="00313999">
        <w:rPr>
          <w:spacing w:val="-35"/>
        </w:rPr>
        <w:t xml:space="preserve"> </w:t>
      </w:r>
    </w:p>
    <w:p w14:paraId="372EA5FE" w14:textId="73EFD69F" w:rsidR="00313999" w:rsidRDefault="00313999" w:rsidP="007476AB">
      <w:pPr>
        <w:pStyle w:val="BodyText"/>
        <w:spacing w:line="480" w:lineRule="auto"/>
        <w:ind w:right="136" w:firstLine="720"/>
        <w:jc w:val="both"/>
        <w:rPr>
          <w:spacing w:val="-4"/>
        </w:rPr>
      </w:pPr>
      <w:r>
        <w:t>With respect to firearms and toolmark evidence, PCAST focused on whether there had been a demonstration</w:t>
      </w:r>
      <w:r>
        <w:rPr>
          <w:spacing w:val="-6"/>
        </w:rPr>
        <w:t xml:space="preserve"> </w:t>
      </w:r>
      <w:r>
        <w:t>of</w:t>
      </w:r>
      <w:r>
        <w:rPr>
          <w:spacing w:val="-7"/>
        </w:rPr>
        <w:t xml:space="preserve"> </w:t>
      </w:r>
      <w:r>
        <w:t>both</w:t>
      </w:r>
      <w:r>
        <w:rPr>
          <w:spacing w:val="-6"/>
        </w:rPr>
        <w:t xml:space="preserve"> </w:t>
      </w:r>
      <w:r>
        <w:t>“foundational</w:t>
      </w:r>
      <w:r>
        <w:rPr>
          <w:spacing w:val="-5"/>
        </w:rPr>
        <w:t xml:space="preserve"> </w:t>
      </w:r>
      <w:r>
        <w:t>validity”</w:t>
      </w:r>
      <w:r>
        <w:rPr>
          <w:spacing w:val="-7"/>
        </w:rPr>
        <w:t xml:space="preserve"> </w:t>
      </w:r>
      <w:r>
        <w:t>and</w:t>
      </w:r>
      <w:r>
        <w:rPr>
          <w:spacing w:val="-3"/>
        </w:rPr>
        <w:t xml:space="preserve"> </w:t>
      </w:r>
      <w:r>
        <w:t>“validity</w:t>
      </w:r>
      <w:r>
        <w:rPr>
          <w:spacing w:val="-6"/>
        </w:rPr>
        <w:t xml:space="preserve"> </w:t>
      </w:r>
      <w:r>
        <w:t>as</w:t>
      </w:r>
      <w:r>
        <w:rPr>
          <w:spacing w:val="-6"/>
        </w:rPr>
        <w:t xml:space="preserve"> </w:t>
      </w:r>
      <w:r>
        <w:t>applied.”</w:t>
      </w:r>
      <w:r>
        <w:rPr>
          <w:spacing w:val="-5"/>
        </w:rPr>
        <w:t xml:space="preserve"> </w:t>
      </w:r>
      <w:r>
        <w:t>Foundational</w:t>
      </w:r>
      <w:r>
        <w:rPr>
          <w:spacing w:val="-5"/>
        </w:rPr>
        <w:t xml:space="preserve"> </w:t>
      </w:r>
      <w:r>
        <w:t>validity,</w:t>
      </w:r>
      <w:r>
        <w:rPr>
          <w:spacing w:val="-6"/>
        </w:rPr>
        <w:t xml:space="preserve"> </w:t>
      </w:r>
      <w:r>
        <w:t>according to</w:t>
      </w:r>
      <w:r>
        <w:rPr>
          <w:spacing w:val="-15"/>
        </w:rPr>
        <w:t xml:space="preserve"> </w:t>
      </w:r>
      <w:r>
        <w:t>PCAST,</w:t>
      </w:r>
      <w:r>
        <w:rPr>
          <w:spacing w:val="-15"/>
        </w:rPr>
        <w:t xml:space="preserve"> </w:t>
      </w:r>
      <w:r>
        <w:t>requires</w:t>
      </w:r>
      <w:r>
        <w:rPr>
          <w:spacing w:val="-15"/>
        </w:rPr>
        <w:t xml:space="preserve"> </w:t>
      </w:r>
      <w:r>
        <w:t>that</w:t>
      </w:r>
      <w:r>
        <w:rPr>
          <w:spacing w:val="-15"/>
        </w:rPr>
        <w:t xml:space="preserve"> </w:t>
      </w:r>
      <w:r>
        <w:t>the</w:t>
      </w:r>
      <w:r>
        <w:rPr>
          <w:spacing w:val="-15"/>
        </w:rPr>
        <w:t xml:space="preserve"> </w:t>
      </w:r>
      <w:r>
        <w:t>method</w:t>
      </w:r>
      <w:r>
        <w:rPr>
          <w:spacing w:val="-15"/>
        </w:rPr>
        <w:t xml:space="preserve"> </w:t>
      </w:r>
      <w:r>
        <w:t>“be</w:t>
      </w:r>
      <w:r>
        <w:rPr>
          <w:spacing w:val="-15"/>
        </w:rPr>
        <w:t xml:space="preserve"> </w:t>
      </w:r>
      <w:r>
        <w:t>shown,</w:t>
      </w:r>
      <w:r>
        <w:rPr>
          <w:spacing w:val="-15"/>
        </w:rPr>
        <w:t xml:space="preserve"> </w:t>
      </w:r>
      <w:r>
        <w:t>based</w:t>
      </w:r>
      <w:r>
        <w:rPr>
          <w:spacing w:val="-15"/>
        </w:rPr>
        <w:t xml:space="preserve"> </w:t>
      </w:r>
      <w:r>
        <w:t>on</w:t>
      </w:r>
      <w:r>
        <w:rPr>
          <w:spacing w:val="-15"/>
        </w:rPr>
        <w:t xml:space="preserve"> </w:t>
      </w:r>
      <w:r>
        <w:t>empirical</w:t>
      </w:r>
      <w:r>
        <w:rPr>
          <w:spacing w:val="-15"/>
        </w:rPr>
        <w:t xml:space="preserve"> </w:t>
      </w:r>
      <w:r>
        <w:t>studies,</w:t>
      </w:r>
      <w:r>
        <w:rPr>
          <w:spacing w:val="-15"/>
        </w:rPr>
        <w:t xml:space="preserve"> </w:t>
      </w:r>
      <w:r>
        <w:t>to</w:t>
      </w:r>
      <w:r>
        <w:rPr>
          <w:spacing w:val="-15"/>
        </w:rPr>
        <w:t xml:space="preserve"> </w:t>
      </w:r>
      <w:r>
        <w:t>be</w:t>
      </w:r>
      <w:r>
        <w:rPr>
          <w:spacing w:val="-15"/>
        </w:rPr>
        <w:t xml:space="preserve"> </w:t>
      </w:r>
      <w:r>
        <w:rPr>
          <w:i/>
        </w:rPr>
        <w:t>repeatable</w:t>
      </w:r>
      <w:r>
        <w:t>,</w:t>
      </w:r>
      <w:r>
        <w:rPr>
          <w:spacing w:val="-15"/>
        </w:rPr>
        <w:t xml:space="preserve"> </w:t>
      </w:r>
      <w:r>
        <w:rPr>
          <w:i/>
        </w:rPr>
        <w:t>reproducible</w:t>
      </w:r>
      <w:r>
        <w:t>, and</w:t>
      </w:r>
      <w:r>
        <w:rPr>
          <w:spacing w:val="-7"/>
        </w:rPr>
        <w:t xml:space="preserve"> </w:t>
      </w:r>
      <w:r>
        <w:rPr>
          <w:i/>
        </w:rPr>
        <w:t>accurate</w:t>
      </w:r>
      <w:r>
        <w:t>.”</w:t>
      </w:r>
      <w:r>
        <w:rPr>
          <w:spacing w:val="-8"/>
        </w:rPr>
        <w:t xml:space="preserve"> </w:t>
      </w:r>
      <w:r>
        <w:rPr>
          <w:i/>
        </w:rPr>
        <w:t>Id</w:t>
      </w:r>
      <w:r>
        <w:t>.</w:t>
      </w:r>
      <w:r>
        <w:rPr>
          <w:spacing w:val="-5"/>
        </w:rPr>
        <w:t xml:space="preserve"> </w:t>
      </w:r>
      <w:r>
        <w:t>Validity</w:t>
      </w:r>
      <w:r>
        <w:rPr>
          <w:spacing w:val="-7"/>
        </w:rPr>
        <w:t xml:space="preserve"> </w:t>
      </w:r>
      <w:r>
        <w:t>as</w:t>
      </w:r>
      <w:r>
        <w:rPr>
          <w:spacing w:val="-7"/>
        </w:rPr>
        <w:t xml:space="preserve"> </w:t>
      </w:r>
      <w:r>
        <w:t>applied</w:t>
      </w:r>
      <w:r>
        <w:rPr>
          <w:spacing w:val="-5"/>
        </w:rPr>
        <w:t xml:space="preserve"> </w:t>
      </w:r>
      <w:r>
        <w:t>requires</w:t>
      </w:r>
      <w:r>
        <w:rPr>
          <w:spacing w:val="-5"/>
        </w:rPr>
        <w:t xml:space="preserve"> </w:t>
      </w:r>
      <w:r>
        <w:t>“that</w:t>
      </w:r>
      <w:r>
        <w:rPr>
          <w:spacing w:val="-7"/>
        </w:rPr>
        <w:t xml:space="preserve"> </w:t>
      </w:r>
      <w:r>
        <w:t>the</w:t>
      </w:r>
      <w:r>
        <w:rPr>
          <w:spacing w:val="-8"/>
        </w:rPr>
        <w:t xml:space="preserve"> </w:t>
      </w:r>
      <w:r>
        <w:t>method</w:t>
      </w:r>
      <w:r>
        <w:rPr>
          <w:spacing w:val="-7"/>
        </w:rPr>
        <w:t xml:space="preserve"> </w:t>
      </w:r>
      <w:r>
        <w:t>has</w:t>
      </w:r>
      <w:r>
        <w:rPr>
          <w:spacing w:val="-7"/>
        </w:rPr>
        <w:t xml:space="preserve"> </w:t>
      </w:r>
      <w:r>
        <w:t>been</w:t>
      </w:r>
      <w:r>
        <w:rPr>
          <w:spacing w:val="-7"/>
        </w:rPr>
        <w:t xml:space="preserve"> </w:t>
      </w:r>
      <w:r>
        <w:t>reliably</w:t>
      </w:r>
      <w:r>
        <w:rPr>
          <w:spacing w:val="-7"/>
        </w:rPr>
        <w:t xml:space="preserve"> </w:t>
      </w:r>
      <w:r>
        <w:t>applied</w:t>
      </w:r>
      <w:r>
        <w:rPr>
          <w:spacing w:val="-7"/>
        </w:rPr>
        <w:t xml:space="preserve"> </w:t>
      </w:r>
      <w:r>
        <w:rPr>
          <w:i/>
        </w:rPr>
        <w:t>in</w:t>
      </w:r>
      <w:r>
        <w:rPr>
          <w:i/>
          <w:spacing w:val="-7"/>
        </w:rPr>
        <w:t xml:space="preserve"> </w:t>
      </w:r>
      <w:r>
        <w:rPr>
          <w:i/>
        </w:rPr>
        <w:t>practice</w:t>
      </w:r>
      <w:r>
        <w:t>.”</w:t>
      </w:r>
      <w:r>
        <w:rPr>
          <w:spacing w:val="-6"/>
        </w:rPr>
        <w:t xml:space="preserve"> </w:t>
      </w:r>
      <w:r>
        <w:rPr>
          <w:i/>
        </w:rPr>
        <w:t>Id</w:t>
      </w:r>
      <w:r>
        <w:t>. At</w:t>
      </w:r>
      <w:r>
        <w:rPr>
          <w:spacing w:val="-4"/>
        </w:rPr>
        <w:t xml:space="preserve"> </w:t>
      </w:r>
      <w:r>
        <w:t>5.</w:t>
      </w:r>
      <w:r>
        <w:rPr>
          <w:spacing w:val="-5"/>
        </w:rPr>
        <w:t xml:space="preserve"> </w:t>
      </w:r>
      <w:r>
        <w:t>The</w:t>
      </w:r>
      <w:r>
        <w:rPr>
          <w:spacing w:val="-3"/>
        </w:rPr>
        <w:t xml:space="preserve"> </w:t>
      </w:r>
      <w:r>
        <w:t>PCAST</w:t>
      </w:r>
      <w:r>
        <w:rPr>
          <w:spacing w:val="-5"/>
        </w:rPr>
        <w:t xml:space="preserve"> </w:t>
      </w:r>
      <w:r>
        <w:t>Report</w:t>
      </w:r>
      <w:r>
        <w:rPr>
          <w:spacing w:val="-4"/>
        </w:rPr>
        <w:t xml:space="preserve"> </w:t>
      </w:r>
      <w:r>
        <w:t>worried</w:t>
      </w:r>
      <w:r>
        <w:rPr>
          <w:spacing w:val="-2"/>
        </w:rPr>
        <w:t xml:space="preserve"> </w:t>
      </w:r>
      <w:r>
        <w:t>that</w:t>
      </w:r>
      <w:r>
        <w:rPr>
          <w:spacing w:val="-2"/>
        </w:rPr>
        <w:t xml:space="preserve"> </w:t>
      </w:r>
      <w:r>
        <w:t>“[f]</w:t>
      </w:r>
      <w:proofErr w:type="spellStart"/>
      <w:r>
        <w:t>irearms</w:t>
      </w:r>
      <w:proofErr w:type="spellEnd"/>
      <w:r>
        <w:rPr>
          <w:spacing w:val="-2"/>
        </w:rPr>
        <w:t xml:space="preserve"> </w:t>
      </w:r>
      <w:r>
        <w:t>analysts</w:t>
      </w:r>
      <w:r>
        <w:rPr>
          <w:spacing w:val="-5"/>
        </w:rPr>
        <w:t xml:space="preserve"> </w:t>
      </w:r>
      <w:r>
        <w:t>have</w:t>
      </w:r>
      <w:r>
        <w:rPr>
          <w:spacing w:val="-3"/>
        </w:rPr>
        <w:t xml:space="preserve"> </w:t>
      </w:r>
      <w:r>
        <w:t>long</w:t>
      </w:r>
      <w:r>
        <w:rPr>
          <w:spacing w:val="-5"/>
        </w:rPr>
        <w:t xml:space="preserve"> </w:t>
      </w:r>
      <w:r>
        <w:t>stated that</w:t>
      </w:r>
      <w:r>
        <w:rPr>
          <w:spacing w:val="-4"/>
        </w:rPr>
        <w:t xml:space="preserve"> </w:t>
      </w:r>
      <w:r>
        <w:t>their</w:t>
      </w:r>
      <w:r>
        <w:rPr>
          <w:spacing w:val="-6"/>
        </w:rPr>
        <w:t xml:space="preserve"> </w:t>
      </w:r>
      <w:r>
        <w:t>discipline</w:t>
      </w:r>
      <w:r>
        <w:rPr>
          <w:spacing w:val="-6"/>
        </w:rPr>
        <w:t xml:space="preserve"> </w:t>
      </w:r>
      <w:r>
        <w:t>has</w:t>
      </w:r>
      <w:r>
        <w:rPr>
          <w:spacing w:val="-5"/>
        </w:rPr>
        <w:t xml:space="preserve"> </w:t>
      </w:r>
      <w:r>
        <w:t>near- perfect</w:t>
      </w:r>
      <w:r>
        <w:rPr>
          <w:spacing w:val="-10"/>
        </w:rPr>
        <w:t xml:space="preserve"> </w:t>
      </w:r>
      <w:r>
        <w:t>accuracy.”</w:t>
      </w:r>
      <w:r>
        <w:rPr>
          <w:spacing w:val="-12"/>
        </w:rPr>
        <w:t xml:space="preserve"> </w:t>
      </w:r>
      <w:r>
        <w:t>PCAST</w:t>
      </w:r>
      <w:r>
        <w:rPr>
          <w:spacing w:val="-11"/>
        </w:rPr>
        <w:t xml:space="preserve"> </w:t>
      </w:r>
      <w:r>
        <w:t>Report,</w:t>
      </w:r>
      <w:r>
        <w:rPr>
          <w:spacing w:val="-11"/>
        </w:rPr>
        <w:t xml:space="preserve"> </w:t>
      </w:r>
      <w:r>
        <w:t>p.</w:t>
      </w:r>
      <w:r>
        <w:rPr>
          <w:spacing w:val="-11"/>
        </w:rPr>
        <w:t xml:space="preserve"> </w:t>
      </w:r>
      <w:r>
        <w:t>105.</w:t>
      </w:r>
      <w:r>
        <w:rPr>
          <w:spacing w:val="-11"/>
        </w:rPr>
        <w:t xml:space="preserve"> </w:t>
      </w:r>
      <w:r>
        <w:t>PCAST</w:t>
      </w:r>
      <w:r>
        <w:rPr>
          <w:spacing w:val="12"/>
        </w:rPr>
        <w:t xml:space="preserve"> </w:t>
      </w:r>
      <w:r>
        <w:lastRenderedPageBreak/>
        <w:t>noted</w:t>
      </w:r>
      <w:r>
        <w:rPr>
          <w:spacing w:val="12"/>
        </w:rPr>
        <w:t xml:space="preserve"> </w:t>
      </w:r>
      <w:r>
        <w:t>that</w:t>
      </w:r>
      <w:r>
        <w:rPr>
          <w:spacing w:val="13"/>
        </w:rPr>
        <w:t xml:space="preserve"> </w:t>
      </w:r>
      <w:r>
        <w:t>studies</w:t>
      </w:r>
      <w:r>
        <w:rPr>
          <w:spacing w:val="12"/>
        </w:rPr>
        <w:t xml:space="preserve"> </w:t>
      </w:r>
      <w:r>
        <w:t>conducted</w:t>
      </w:r>
      <w:r>
        <w:rPr>
          <w:spacing w:val="13"/>
        </w:rPr>
        <w:t xml:space="preserve"> </w:t>
      </w:r>
      <w:r>
        <w:t>in</w:t>
      </w:r>
      <w:r>
        <w:rPr>
          <w:spacing w:val="12"/>
        </w:rPr>
        <w:t xml:space="preserve"> </w:t>
      </w:r>
      <w:r>
        <w:t>response</w:t>
      </w:r>
      <w:r>
        <w:rPr>
          <w:spacing w:val="13"/>
        </w:rPr>
        <w:t xml:space="preserve"> </w:t>
      </w:r>
      <w:r>
        <w:t>to</w:t>
      </w:r>
      <w:r>
        <w:rPr>
          <w:spacing w:val="13"/>
        </w:rPr>
        <w:t xml:space="preserve"> </w:t>
      </w:r>
      <w:r>
        <w:t>the</w:t>
      </w:r>
      <w:r>
        <w:rPr>
          <w:spacing w:val="11"/>
        </w:rPr>
        <w:t xml:space="preserve"> </w:t>
      </w:r>
      <w:r>
        <w:t>NAS</w:t>
      </w:r>
      <w:r>
        <w:rPr>
          <w:spacing w:val="14"/>
        </w:rPr>
        <w:t xml:space="preserve"> </w:t>
      </w:r>
      <w:r>
        <w:t>Report</w:t>
      </w:r>
      <w:r>
        <w:rPr>
          <w:spacing w:val="12"/>
        </w:rPr>
        <w:t xml:space="preserve"> </w:t>
      </w:r>
      <w:r>
        <w:t>were</w:t>
      </w:r>
      <w:r>
        <w:rPr>
          <w:spacing w:val="14"/>
        </w:rPr>
        <w:t xml:space="preserve"> </w:t>
      </w:r>
      <w:r>
        <w:rPr>
          <w:spacing w:val="-4"/>
        </w:rPr>
        <w:t>“not</w:t>
      </w:r>
      <w:r w:rsidR="007476AB">
        <w:t xml:space="preserve"> </w:t>
      </w:r>
      <w:proofErr w:type="gramStart"/>
      <w:r>
        <w:t>appropriately-designed</w:t>
      </w:r>
      <w:proofErr w:type="gramEnd"/>
      <w:r>
        <w:t>.”</w:t>
      </w:r>
      <w:r>
        <w:rPr>
          <w:spacing w:val="-4"/>
        </w:rPr>
        <w:t xml:space="preserve"> </w:t>
      </w:r>
      <w:r>
        <w:t>PCAST</w:t>
      </w:r>
      <w:r>
        <w:rPr>
          <w:spacing w:val="-3"/>
        </w:rPr>
        <w:t xml:space="preserve"> </w:t>
      </w:r>
      <w:r>
        <w:t>Report,</w:t>
      </w:r>
      <w:r>
        <w:rPr>
          <w:spacing w:val="-2"/>
        </w:rPr>
        <w:t xml:space="preserve"> </w:t>
      </w:r>
      <w:r>
        <w:t>p.</w:t>
      </w:r>
      <w:r>
        <w:rPr>
          <w:spacing w:val="-2"/>
        </w:rPr>
        <w:t xml:space="preserve"> </w:t>
      </w:r>
      <w:r>
        <w:rPr>
          <w:spacing w:val="-4"/>
        </w:rPr>
        <w:t>106.</w:t>
      </w:r>
    </w:p>
    <w:p w14:paraId="2EEFBC8C" w14:textId="6F0B6026" w:rsidR="007476AB" w:rsidRDefault="007476AB" w:rsidP="007476AB">
      <w:pPr>
        <w:pStyle w:val="BodyText"/>
        <w:spacing w:line="480" w:lineRule="auto"/>
        <w:ind w:right="136" w:firstLine="720"/>
        <w:jc w:val="both"/>
      </w:pPr>
      <w:r w:rsidRPr="007476AB">
        <w:t>Even putting the flawed design aside, the report noted that “analysis of the empirical results</w:t>
      </w:r>
      <w:r>
        <w:t>…</w:t>
      </w:r>
      <w:r w:rsidRPr="007476AB">
        <w:t>suggest</w:t>
      </w:r>
      <w:r>
        <w:t xml:space="preserve"> </w:t>
      </w:r>
      <w:r w:rsidRPr="007476AB">
        <w:t xml:space="preserve">that they may substantially underestimate the false positive rate.” </w:t>
      </w:r>
      <w:r w:rsidRPr="007476AB">
        <w:rPr>
          <w:i/>
          <w:iCs/>
        </w:rPr>
        <w:t>Id</w:t>
      </w:r>
      <w:r w:rsidRPr="007476AB">
        <w:t xml:space="preserve">. Alarmingly, one study noted by PCAST found that firearm and toolmark examiners failed to exclude </w:t>
      </w:r>
      <w:r w:rsidRPr="007476AB">
        <w:rPr>
          <w:i/>
          <w:iCs/>
        </w:rPr>
        <w:t xml:space="preserve">ninety-seven percent </w:t>
      </w:r>
      <w:r w:rsidRPr="007476AB">
        <w:t xml:space="preserve">of cartridge casings that were fired by different guns, instead calling them ‘inconclusive.’ </w:t>
      </w:r>
      <w:r w:rsidRPr="007476AB">
        <w:rPr>
          <w:i/>
          <w:iCs/>
        </w:rPr>
        <w:t>Id</w:t>
      </w:r>
      <w:r w:rsidRPr="007476AB">
        <w:t xml:space="preserve">. at 107. The only study identified by PCAST as property designed suggested the false positive rate could be as high as 1 in 46, or 2.2 percent. </w:t>
      </w:r>
      <w:r w:rsidRPr="007476AB">
        <w:rPr>
          <w:i/>
          <w:iCs/>
        </w:rPr>
        <w:t>Id</w:t>
      </w:r>
      <w:r w:rsidRPr="007476AB">
        <w:t xml:space="preserve">. at 110. A similarly designed study published after the PCAST report assessed the error rate at 11.2 percent. </w:t>
      </w:r>
      <w:proofErr w:type="spellStart"/>
      <w:r w:rsidRPr="007476AB">
        <w:t>Mattijssen</w:t>
      </w:r>
      <w:proofErr w:type="spellEnd"/>
      <w:r w:rsidRPr="007476AB">
        <w:t xml:space="preserve"> et al., </w:t>
      </w:r>
      <w:r w:rsidRPr="007476AB">
        <w:rPr>
          <w:i/>
          <w:iCs/>
        </w:rPr>
        <w:t xml:space="preserve">Validity and </w:t>
      </w:r>
      <w:r w:rsidR="00A2274C">
        <w:rPr>
          <w:i/>
          <w:iCs/>
        </w:rPr>
        <w:t>R</w:t>
      </w:r>
      <w:r w:rsidR="00A2274C" w:rsidRPr="007476AB">
        <w:rPr>
          <w:i/>
          <w:iCs/>
        </w:rPr>
        <w:t xml:space="preserve">eliability </w:t>
      </w:r>
      <w:r w:rsidRPr="007476AB">
        <w:rPr>
          <w:i/>
          <w:iCs/>
        </w:rPr>
        <w:t xml:space="preserve">of </w:t>
      </w:r>
      <w:r w:rsidR="00A2274C">
        <w:rPr>
          <w:i/>
          <w:iCs/>
        </w:rPr>
        <w:t>F</w:t>
      </w:r>
      <w:r w:rsidR="00A2274C" w:rsidRPr="007476AB">
        <w:rPr>
          <w:i/>
          <w:iCs/>
        </w:rPr>
        <w:t xml:space="preserve">orensic </w:t>
      </w:r>
      <w:r w:rsidR="00A2274C">
        <w:rPr>
          <w:i/>
          <w:iCs/>
        </w:rPr>
        <w:t>F</w:t>
      </w:r>
      <w:r w:rsidR="00A2274C" w:rsidRPr="007476AB">
        <w:rPr>
          <w:i/>
          <w:iCs/>
        </w:rPr>
        <w:t xml:space="preserve">irearm </w:t>
      </w:r>
      <w:r w:rsidR="00A2274C">
        <w:rPr>
          <w:i/>
          <w:iCs/>
        </w:rPr>
        <w:t>E</w:t>
      </w:r>
      <w:r w:rsidR="00A2274C" w:rsidRPr="007476AB">
        <w:rPr>
          <w:i/>
          <w:iCs/>
        </w:rPr>
        <w:t>xaminers</w:t>
      </w:r>
      <w:r w:rsidRPr="007476AB">
        <w:t>, 307 Forensic Sci Int 110112 (2020). To put that number in perspective, Toyota recalled eight million</w:t>
      </w:r>
      <w:r>
        <w:t xml:space="preserve"> </w:t>
      </w:r>
      <w:r w:rsidRPr="007476AB">
        <w:t>cars that had a defect that resulted in 146 injuries and deaths, or an error rate of 0.000018 percent. When considered in tandem with the practitioner-published trade journal claiming the impossible error rate of zero, the conclusion of the PCAST report is unsurprising: “current evidence falls short of the scientific criteria for foundational validity.” PCAST Report, p. 111</w:t>
      </w:r>
      <w:r w:rsidR="00BA68D7">
        <w:t>;</w:t>
      </w:r>
      <w:r w:rsidRPr="007476AB">
        <w:t xml:space="preserve"> Cazes &amp;Goudeau, </w:t>
      </w:r>
      <w:r w:rsidRPr="007476AB">
        <w:rPr>
          <w:i/>
          <w:iCs/>
        </w:rPr>
        <w:t>Validation Study Results from Hi-Point Consecutively Manufactured Slides</w:t>
      </w:r>
      <w:r w:rsidRPr="007476AB">
        <w:t>, 45 AFTE J. 175-177 (2013</w:t>
      </w:r>
      <w:r>
        <w:t xml:space="preserve">). </w:t>
      </w:r>
    </w:p>
    <w:p w14:paraId="0A09FE28" w14:textId="672B024F" w:rsidR="007476AB" w:rsidRDefault="007476AB" w:rsidP="007476AB">
      <w:pPr>
        <w:pStyle w:val="BodyText"/>
        <w:spacing w:line="480" w:lineRule="auto"/>
        <w:ind w:right="136" w:firstLine="720"/>
        <w:jc w:val="both"/>
      </w:pPr>
      <w:r w:rsidRPr="007476AB">
        <w:t>This tension</w:t>
      </w:r>
      <w:r w:rsidR="002174B5">
        <w:t xml:space="preserve"> </w:t>
      </w:r>
      <w:r w:rsidRPr="007476AB">
        <w:t>—</w:t>
      </w:r>
      <w:r w:rsidR="002174B5">
        <w:t xml:space="preserve"> </w:t>
      </w:r>
      <w:r w:rsidRPr="007476AB">
        <w:t>the acceptance of firearm and toolmark examination as competent testimony in criminal cases and the lack of foundational validity</w:t>
      </w:r>
      <w:r w:rsidR="002174B5">
        <w:t xml:space="preserve"> — </w:t>
      </w:r>
      <w:r w:rsidRPr="007476AB">
        <w:t xml:space="preserve">has reached a boiling point. </w:t>
      </w:r>
      <w:r w:rsidRPr="007476AB">
        <w:rPr>
          <w:i/>
          <w:iCs/>
        </w:rPr>
        <w:t xml:space="preserve">See </w:t>
      </w:r>
      <w:r w:rsidRPr="007476AB">
        <w:t xml:space="preserve">Bell, </w:t>
      </w:r>
      <w:r w:rsidR="001A365C">
        <w:t xml:space="preserve">et al, </w:t>
      </w:r>
      <w:r w:rsidRPr="007476AB">
        <w:rPr>
          <w:i/>
          <w:iCs/>
        </w:rPr>
        <w:t>A Call for More Science in Forensic Science</w:t>
      </w:r>
      <w:r w:rsidRPr="007476AB">
        <w:t xml:space="preserve">, PNAS May 1, 2018. 115 (18) 4541-4544 (“Forensic science is at a crossroads. It is torn between the practices of science, which require empirical demonstration of the validity and accuracy of methods, and the practices of law, which accept methods based on historical precedent even if they have never been subjected </w:t>
      </w:r>
      <w:r w:rsidRPr="007476AB">
        <w:lastRenderedPageBreak/>
        <w:t xml:space="preserve">to meaningful empirical validation.”). Scholars </w:t>
      </w:r>
      <w:r w:rsidR="005B6056">
        <w:t>observed</w:t>
      </w:r>
      <w:r w:rsidRPr="007476AB">
        <w:t xml:space="preserve"> “firearms analysis serves as a useful case study for understanding how segments of the forensic community, aligned with law enforcement and insulated from the broader scientific community, have leveraged an understanding of the </w:t>
      </w:r>
      <w:r w:rsidRPr="007476AB">
        <w:rPr>
          <w:i/>
          <w:iCs/>
        </w:rPr>
        <w:t xml:space="preserve">Daubert </w:t>
      </w:r>
      <w:r w:rsidRPr="007476AB">
        <w:t>factors to manufacture a perception that their method is reliable</w:t>
      </w:r>
      <w:r w:rsidR="00540B6D">
        <w:t xml:space="preserve"> </w:t>
      </w:r>
      <w:r w:rsidRPr="007476AB">
        <w:t>—thereby winning it widespread admissibility</w:t>
      </w:r>
      <w:r w:rsidR="00540B6D">
        <w:t xml:space="preserve"> </w:t>
      </w:r>
      <w:r w:rsidRPr="007476AB">
        <w:t xml:space="preserve">— despite significant data to the contrary.” </w:t>
      </w:r>
      <w:r w:rsidRPr="007476AB">
        <w:rPr>
          <w:i/>
          <w:iCs/>
        </w:rPr>
        <w:t>See supra</w:t>
      </w:r>
      <w:r w:rsidRPr="007476AB">
        <w:t>, Sinha, Maneka, p</w:t>
      </w:r>
      <w:r w:rsidR="00540B6D">
        <w:t>.</w:t>
      </w:r>
      <w:r w:rsidRPr="007476AB">
        <w:t xml:space="preserve"> 927-928. Prof. Sinha notes that proponents of firearm and toolmark testimony will try to “check off” the testing factor of </w:t>
      </w:r>
      <w:r w:rsidRPr="007476AB">
        <w:rPr>
          <w:i/>
          <w:iCs/>
        </w:rPr>
        <w:t xml:space="preserve">Daubert </w:t>
      </w:r>
      <w:r w:rsidRPr="007476AB">
        <w:t xml:space="preserve">with “superficial satisfaction” because “design flaws plague the majority of the studies that purport to establish the validity of forensic methods.” </w:t>
      </w:r>
      <w:r w:rsidRPr="007476AB">
        <w:rPr>
          <w:i/>
          <w:iCs/>
        </w:rPr>
        <w:t>Id</w:t>
      </w:r>
      <w:r w:rsidRPr="007476AB">
        <w:t>. at 929.</w:t>
      </w:r>
    </w:p>
    <w:p w14:paraId="172D1DA8" w14:textId="77777777" w:rsidR="005B6056" w:rsidRDefault="005B6056" w:rsidP="007476AB">
      <w:pPr>
        <w:pStyle w:val="BodyText"/>
        <w:spacing w:line="480" w:lineRule="auto"/>
        <w:ind w:right="136" w:firstLine="720"/>
        <w:jc w:val="both"/>
      </w:pPr>
    </w:p>
    <w:p w14:paraId="32E3F886" w14:textId="7503A151" w:rsidR="007476AB" w:rsidRDefault="007476AB" w:rsidP="007476AB">
      <w:pPr>
        <w:pStyle w:val="BodyText"/>
        <w:numPr>
          <w:ilvl w:val="1"/>
          <w:numId w:val="8"/>
        </w:numPr>
        <w:ind w:left="1685" w:right="130"/>
        <w:jc w:val="both"/>
        <w:rPr>
          <w:b/>
          <w:bCs/>
        </w:rPr>
      </w:pPr>
      <w:r>
        <w:rPr>
          <w:b/>
          <w:bCs/>
        </w:rPr>
        <w:t xml:space="preserve">COURTS NATIONWIDE ARE EXCLUDING FIREARM AND TOOLMARK EXAMINATION EVIDENCE AS UNRELIABLE UNDER BOTH </w:t>
      </w:r>
      <w:r>
        <w:rPr>
          <w:b/>
          <w:bCs/>
          <w:i/>
          <w:iCs/>
        </w:rPr>
        <w:t>FRYE</w:t>
      </w:r>
      <w:r>
        <w:rPr>
          <w:b/>
          <w:bCs/>
        </w:rPr>
        <w:t xml:space="preserve"> AND </w:t>
      </w:r>
      <w:r>
        <w:rPr>
          <w:b/>
          <w:bCs/>
          <w:i/>
          <w:iCs/>
        </w:rPr>
        <w:t>DAUBERT</w:t>
      </w:r>
    </w:p>
    <w:p w14:paraId="580756A6" w14:textId="77777777" w:rsidR="007476AB" w:rsidRDefault="007476AB" w:rsidP="007476AB">
      <w:pPr>
        <w:pStyle w:val="BodyText"/>
        <w:ind w:right="130"/>
        <w:jc w:val="both"/>
        <w:rPr>
          <w:b/>
          <w:bCs/>
        </w:rPr>
      </w:pPr>
    </w:p>
    <w:p w14:paraId="7A61AFDB" w14:textId="65A2D51A" w:rsidR="007476AB" w:rsidRPr="00BF35AD" w:rsidRDefault="007476AB" w:rsidP="007476AB">
      <w:pPr>
        <w:pStyle w:val="BodyText"/>
        <w:spacing w:line="480" w:lineRule="auto"/>
        <w:ind w:firstLine="720"/>
        <w:jc w:val="both"/>
      </w:pPr>
      <w:r w:rsidRPr="007476AB">
        <w:t xml:space="preserve">In </w:t>
      </w:r>
      <w:proofErr w:type="spellStart"/>
      <w:r w:rsidRPr="007476AB">
        <w:rPr>
          <w:i/>
          <w:iCs/>
        </w:rPr>
        <w:t>Abruquah</w:t>
      </w:r>
      <w:proofErr w:type="spellEnd"/>
      <w:r w:rsidRPr="007476AB">
        <w:rPr>
          <w:i/>
          <w:iCs/>
        </w:rPr>
        <w:t xml:space="preserve"> v State of Maryland</w:t>
      </w:r>
      <w:r w:rsidRPr="007476AB">
        <w:t xml:space="preserve">, the Supreme Court of Maryland found it was an abuse of discretion for a trial court to conclude that firearm and toolmark evidence met the </w:t>
      </w:r>
      <w:r w:rsidRPr="007476AB">
        <w:rPr>
          <w:i/>
          <w:iCs/>
        </w:rPr>
        <w:t xml:space="preserve">minimum </w:t>
      </w:r>
      <w:r w:rsidRPr="007476AB">
        <w:t xml:space="preserve">threshold of reliability under </w:t>
      </w:r>
      <w:r w:rsidRPr="007476AB">
        <w:rPr>
          <w:i/>
          <w:iCs/>
        </w:rPr>
        <w:t>Daubert</w:t>
      </w:r>
      <w:r w:rsidRPr="007476AB">
        <w:t xml:space="preserve">, holding that the “analytical gap between the type of opinion firearms identification can reliably support and the opinion.” </w:t>
      </w:r>
      <w:proofErr w:type="spellStart"/>
      <w:r w:rsidRPr="007476AB">
        <w:rPr>
          <w:i/>
          <w:iCs/>
        </w:rPr>
        <w:t>Abruquah</w:t>
      </w:r>
      <w:proofErr w:type="spellEnd"/>
      <w:r w:rsidRPr="007476AB">
        <w:rPr>
          <w:i/>
          <w:iCs/>
        </w:rPr>
        <w:t xml:space="preserve"> v State</w:t>
      </w:r>
      <w:r w:rsidRPr="007476AB">
        <w:t xml:space="preserve">, 483 Md 637, 696 (2023). The Maryland Supreme Court offered an exhaustive analysis of the </w:t>
      </w:r>
      <w:r w:rsidRPr="007476AB">
        <w:rPr>
          <w:i/>
          <w:iCs/>
        </w:rPr>
        <w:t xml:space="preserve">Daubert </w:t>
      </w:r>
      <w:r w:rsidRPr="007476AB">
        <w:t xml:space="preserve">factors that track the lack of foundational validity, incalculable error rates, and significant design flaws of trade journal studies laid out in Part B, </w:t>
      </w:r>
      <w:r w:rsidRPr="007476AB">
        <w:rPr>
          <w:i/>
          <w:iCs/>
        </w:rPr>
        <w:t>supra</w:t>
      </w:r>
      <w:r w:rsidRPr="007476AB">
        <w:t xml:space="preserve">. </w:t>
      </w:r>
      <w:proofErr w:type="spellStart"/>
      <w:r w:rsidRPr="007476AB">
        <w:rPr>
          <w:i/>
          <w:iCs/>
        </w:rPr>
        <w:t>Abruquah</w:t>
      </w:r>
      <w:proofErr w:type="spellEnd"/>
      <w:r w:rsidRPr="007476AB">
        <w:t>, 483 Md at 681-697.</w:t>
      </w:r>
      <w:r w:rsidR="00BF35AD">
        <w:t xml:space="preserve"> </w:t>
      </w:r>
    </w:p>
    <w:p w14:paraId="56D78ACE" w14:textId="3089F495" w:rsidR="00313999" w:rsidRDefault="00313999" w:rsidP="00313999">
      <w:pPr>
        <w:pStyle w:val="BodyText"/>
        <w:spacing w:line="480" w:lineRule="auto"/>
        <w:ind w:right="134"/>
        <w:jc w:val="both"/>
        <w:rPr>
          <w:spacing w:val="-4"/>
        </w:rPr>
      </w:pPr>
      <w:r>
        <w:rPr>
          <w:spacing w:val="-4"/>
        </w:rPr>
        <w:tab/>
      </w:r>
      <w:r w:rsidR="007476AB" w:rsidRPr="007476AB">
        <w:rPr>
          <w:spacing w:val="-4"/>
        </w:rPr>
        <w:t xml:space="preserve">The District of Columbia Court of Appeals, in </w:t>
      </w:r>
      <w:r w:rsidR="007476AB" w:rsidRPr="007476AB">
        <w:rPr>
          <w:i/>
          <w:iCs/>
          <w:spacing w:val="-4"/>
        </w:rPr>
        <w:t>Williams v United States</w:t>
      </w:r>
      <w:r w:rsidR="007476AB" w:rsidRPr="007476AB">
        <w:rPr>
          <w:spacing w:val="-4"/>
        </w:rPr>
        <w:t>, 210 A3d 734 (DC, 2019) (</w:t>
      </w:r>
      <w:r w:rsidR="007476AB" w:rsidRPr="007476AB">
        <w:rPr>
          <w:i/>
          <w:iCs/>
          <w:spacing w:val="-4"/>
        </w:rPr>
        <w:t>Williams II</w:t>
      </w:r>
      <w:r w:rsidR="007476AB" w:rsidRPr="007476AB">
        <w:rPr>
          <w:spacing w:val="-4"/>
        </w:rPr>
        <w:t xml:space="preserve">) reiterated a previous holding under </w:t>
      </w:r>
      <w:r w:rsidR="007476AB" w:rsidRPr="007476AB">
        <w:rPr>
          <w:i/>
          <w:iCs/>
          <w:spacing w:val="-4"/>
        </w:rPr>
        <w:t xml:space="preserve">Frye </w:t>
      </w:r>
      <w:r w:rsidR="007476AB" w:rsidRPr="007476AB">
        <w:rPr>
          <w:spacing w:val="-4"/>
        </w:rPr>
        <w:t xml:space="preserve">applied as well under </w:t>
      </w:r>
      <w:r w:rsidR="007476AB" w:rsidRPr="007476AB">
        <w:rPr>
          <w:i/>
          <w:iCs/>
          <w:spacing w:val="-4"/>
        </w:rPr>
        <w:t>Daubert</w:t>
      </w:r>
      <w:r w:rsidR="007476AB" w:rsidRPr="007476AB">
        <w:rPr>
          <w:spacing w:val="-4"/>
        </w:rPr>
        <w:t xml:space="preserve">, that it was error to admit unqualified testimony that an expert could testify without “any doubt” that a bullet was fired from a particular gun, </w:t>
      </w:r>
      <w:r w:rsidR="0025499A">
        <w:rPr>
          <w:spacing w:val="-4"/>
        </w:rPr>
        <w:t xml:space="preserve">noting </w:t>
      </w:r>
      <w:r w:rsidR="007476AB" w:rsidRPr="007476AB">
        <w:rPr>
          <w:spacing w:val="-4"/>
        </w:rPr>
        <w:t xml:space="preserve">“there is no question that it was error to admit this opinion </w:t>
      </w:r>
      <w:r w:rsidR="007476AB" w:rsidRPr="007476AB">
        <w:rPr>
          <w:spacing w:val="-4"/>
        </w:rPr>
        <w:lastRenderedPageBreak/>
        <w:t>testimony.” That previous case held that “a firearms and toolmark expert may not give an unqualified opinion</w:t>
      </w:r>
      <w:r w:rsidR="00E76E97">
        <w:rPr>
          <w:spacing w:val="-4"/>
        </w:rPr>
        <w:t>…</w:t>
      </w:r>
      <w:r w:rsidR="007476AB" w:rsidRPr="007476AB">
        <w:rPr>
          <w:spacing w:val="-4"/>
        </w:rPr>
        <w:t xml:space="preserve">that based on ballistics pattern comparison matching a fatal shot was fired </w:t>
      </w:r>
      <w:proofErr w:type="gramStart"/>
      <w:r w:rsidR="007476AB" w:rsidRPr="007476AB">
        <w:rPr>
          <w:spacing w:val="-4"/>
        </w:rPr>
        <w:t>from one firearm,</w:t>
      </w:r>
      <w:proofErr w:type="gramEnd"/>
      <w:r w:rsidR="007476AB" w:rsidRPr="007476AB">
        <w:rPr>
          <w:spacing w:val="-4"/>
        </w:rPr>
        <w:t xml:space="preserve"> to the exclusion of all other</w:t>
      </w:r>
      <w:r w:rsidR="007476AB">
        <w:rPr>
          <w:spacing w:val="-4"/>
        </w:rPr>
        <w:t xml:space="preserve"> </w:t>
      </w:r>
      <w:r w:rsidR="007476AB" w:rsidRPr="007476AB">
        <w:rPr>
          <w:spacing w:val="-4"/>
        </w:rPr>
        <w:t xml:space="preserve">firearms.” </w:t>
      </w:r>
      <w:r w:rsidR="007476AB" w:rsidRPr="007476AB">
        <w:rPr>
          <w:i/>
          <w:iCs/>
          <w:spacing w:val="-4"/>
        </w:rPr>
        <w:t>Gardner v United States</w:t>
      </w:r>
      <w:r w:rsidR="007476AB" w:rsidRPr="007476AB">
        <w:rPr>
          <w:spacing w:val="-4"/>
        </w:rPr>
        <w:t xml:space="preserve">, 140 A3d 1172, 1184 (DC, 2016). Judge Easterly, the author of </w:t>
      </w:r>
      <w:r w:rsidR="007476AB" w:rsidRPr="007476AB">
        <w:rPr>
          <w:i/>
          <w:iCs/>
          <w:spacing w:val="-4"/>
        </w:rPr>
        <w:t xml:space="preserve">Williams II </w:t>
      </w:r>
      <w:r w:rsidR="007476AB" w:rsidRPr="007476AB">
        <w:rPr>
          <w:spacing w:val="-4"/>
        </w:rPr>
        <w:t xml:space="preserve">and </w:t>
      </w:r>
      <w:r w:rsidR="007476AB" w:rsidRPr="007476AB">
        <w:rPr>
          <w:i/>
          <w:iCs/>
          <w:spacing w:val="-4"/>
        </w:rPr>
        <w:t>Williams I</w:t>
      </w:r>
      <w:r w:rsidR="007476AB" w:rsidRPr="007476AB">
        <w:rPr>
          <w:spacing w:val="-4"/>
        </w:rPr>
        <w:t>, detailed the dangers of firearm and toolmark testimony:</w:t>
      </w:r>
    </w:p>
    <w:p w14:paraId="76D100D0" w14:textId="2A38B3C0" w:rsidR="007476AB" w:rsidRDefault="007476AB" w:rsidP="007476AB">
      <w:pPr>
        <w:pStyle w:val="BodyText"/>
        <w:ind w:left="1440" w:right="130"/>
        <w:jc w:val="both"/>
        <w:rPr>
          <w:spacing w:val="-4"/>
        </w:rPr>
      </w:pPr>
      <w:r w:rsidRPr="007476AB">
        <w:rPr>
          <w:spacing w:val="-4"/>
        </w:rPr>
        <w:t xml:space="preserve">We know that faulty forensic evidence, </w:t>
      </w:r>
      <w:proofErr w:type="gramStart"/>
      <w:r w:rsidRPr="007476AB">
        <w:rPr>
          <w:spacing w:val="-4"/>
        </w:rPr>
        <w:t>and in particular, objectively</w:t>
      </w:r>
      <w:proofErr w:type="gramEnd"/>
      <w:r w:rsidRPr="007476AB">
        <w:rPr>
          <w:spacing w:val="-4"/>
        </w:rPr>
        <w:t xml:space="preserve"> unfounded statements of certainty regarding forensic analysis, can contribute to wrongful convictions . . . </w:t>
      </w:r>
      <w:r w:rsidRPr="00E851FC">
        <w:rPr>
          <w:b/>
          <w:bCs/>
          <w:spacing w:val="-4"/>
        </w:rPr>
        <w:t>As matters currently stand, a certainty statement regarding toolmark pattern matching has the same probative value as the vision of a psychic: it reflects nothing more than the individual's foundationless faith in what he believes to be true</w:t>
      </w:r>
      <w:r w:rsidRPr="007476AB">
        <w:rPr>
          <w:spacing w:val="-4"/>
        </w:rPr>
        <w:t>. This is not evidence on which we can in good conscience rely, particularly in criminal cases, where we demand proof—real proof—beyond a reasonable doubt, precisely because the stakes are so high</w:t>
      </w:r>
      <w:r w:rsidR="00E851FC">
        <w:rPr>
          <w:spacing w:val="-4"/>
        </w:rPr>
        <w:t>…</w:t>
      </w:r>
      <w:r w:rsidRPr="007476AB">
        <w:rPr>
          <w:spacing w:val="-4"/>
        </w:rPr>
        <w:t>We cannot be complicit in their use.</w:t>
      </w:r>
    </w:p>
    <w:p w14:paraId="6DC30742" w14:textId="77777777" w:rsidR="007476AB" w:rsidRDefault="007476AB" w:rsidP="007476AB">
      <w:pPr>
        <w:pStyle w:val="BodyText"/>
        <w:ind w:right="130"/>
        <w:jc w:val="both"/>
        <w:rPr>
          <w:spacing w:val="-4"/>
        </w:rPr>
      </w:pPr>
    </w:p>
    <w:p w14:paraId="6DCA5633" w14:textId="2C0C0EDC" w:rsidR="00D10655" w:rsidRPr="00BF35AD" w:rsidRDefault="007476AB" w:rsidP="007476AB">
      <w:pPr>
        <w:pStyle w:val="BodyText"/>
        <w:spacing w:line="480" w:lineRule="auto"/>
        <w:jc w:val="both"/>
      </w:pPr>
      <w:r w:rsidRPr="007476AB">
        <w:rPr>
          <w:i/>
          <w:iCs/>
        </w:rPr>
        <w:t>Williams v United States</w:t>
      </w:r>
      <w:r w:rsidRPr="007476AB">
        <w:t>, 130 A3d 343, 355 (DC, 2016), on reh 210 A3d 734 (DC, 2019) (</w:t>
      </w:r>
      <w:r w:rsidR="0067403A" w:rsidRPr="007476AB">
        <w:t>EASTERLY</w:t>
      </w:r>
      <w:r w:rsidRPr="007476AB">
        <w:t>, J., concurring) (quotations and citations omitted)</w:t>
      </w:r>
      <w:r w:rsidR="00E76E97">
        <w:t xml:space="preserve"> </w:t>
      </w:r>
      <w:r w:rsidR="00E851FC">
        <w:t xml:space="preserve">(emphasis added). </w:t>
      </w:r>
    </w:p>
    <w:p w14:paraId="1A7AAD98" w14:textId="0AAF7B3D" w:rsidR="007476AB" w:rsidRDefault="007476AB" w:rsidP="007476AB">
      <w:pPr>
        <w:pStyle w:val="BodyText"/>
        <w:spacing w:line="480" w:lineRule="auto"/>
        <w:jc w:val="both"/>
      </w:pPr>
      <w:r>
        <w:tab/>
      </w:r>
      <w:r w:rsidR="006E23F1">
        <w:t xml:space="preserve">In </w:t>
      </w:r>
      <w:r w:rsidR="006E23F1">
        <w:rPr>
          <w:i/>
          <w:iCs/>
        </w:rPr>
        <w:t>State v Adams</w:t>
      </w:r>
      <w:r w:rsidR="006E23F1">
        <w:t xml:space="preserve">, the Oregon Court of Appeals held </w:t>
      </w:r>
      <w:r w:rsidR="00C21E87">
        <w:t>the trial court erred in admitting the</w:t>
      </w:r>
      <w:r w:rsidR="00A96D10">
        <w:t xml:space="preserve"> Association of Firearm and Toolmark Examiners (hereafter, “AFTE”)</w:t>
      </w:r>
      <w:r w:rsidR="00C21E87">
        <w:t xml:space="preserve"> identification evidence. In so holding, the Oregon Court of Appeals stated: </w:t>
      </w:r>
    </w:p>
    <w:p w14:paraId="12F2C191" w14:textId="313B8F74" w:rsidR="00C21E87" w:rsidRDefault="00C21E87" w:rsidP="00C21E87">
      <w:pPr>
        <w:pStyle w:val="BodyText"/>
        <w:ind w:left="1440"/>
        <w:jc w:val="both"/>
      </w:pPr>
      <w:r>
        <w:t>“</w:t>
      </w:r>
      <w:proofErr w:type="gramStart"/>
      <w:r>
        <w:t>the</w:t>
      </w:r>
      <w:proofErr w:type="gramEnd"/>
      <w:r>
        <w:t xml:space="preserve"> state did not meet its burden to show that the AFTE method is scientifically valid</w:t>
      </w:r>
      <w:r w:rsidR="00E851FC">
        <w:t xml:space="preserve"> …</w:t>
      </w:r>
      <w:r>
        <w:t xml:space="preserve"> That is so because the method does not actually </w:t>
      </w:r>
      <w:r>
        <w:rPr>
          <w:i/>
          <w:iCs/>
        </w:rPr>
        <w:t>measure</w:t>
      </w:r>
      <w:r>
        <w:t xml:space="preserve"> the degree of correspondence between shell cases or bullets; rather, </w:t>
      </w:r>
      <w:r w:rsidRPr="00E851FC">
        <w:rPr>
          <w:b/>
          <w:bCs/>
        </w:rPr>
        <w:t>the practitioner’s decision on whether the degree of correspondence indicates a mat</w:t>
      </w:r>
      <w:r w:rsidR="00AF6A6C" w:rsidRPr="00E851FC">
        <w:rPr>
          <w:b/>
          <w:bCs/>
        </w:rPr>
        <w:t>c</w:t>
      </w:r>
      <w:r w:rsidRPr="00E851FC">
        <w:rPr>
          <w:b/>
          <w:bCs/>
        </w:rPr>
        <w:t>h ultimately depends entirely on subjective, unarticulated standards</w:t>
      </w:r>
      <w:r w:rsidR="00E851FC">
        <w:rPr>
          <w:b/>
          <w:bCs/>
        </w:rPr>
        <w:t xml:space="preserve"> </w:t>
      </w:r>
      <w:r w:rsidR="00E851FC">
        <w:t xml:space="preserve">… </w:t>
      </w:r>
      <w:r>
        <w:t>the state did not show that the method is replicable and therefore reliable</w:t>
      </w:r>
      <w:r w:rsidR="00E851FC">
        <w:t xml:space="preserve"> … </w:t>
      </w:r>
      <w:r>
        <w:t>Multiple practitioners may analyze the same items and reach the same result, but each practitioner reaches that result based on application of their own subjective and unarticulated standards, not application of the same standards.”</w:t>
      </w:r>
    </w:p>
    <w:p w14:paraId="64E7245E" w14:textId="77777777" w:rsidR="00C21E87" w:rsidRDefault="00C21E87" w:rsidP="00C21E87">
      <w:pPr>
        <w:pStyle w:val="BodyText"/>
        <w:jc w:val="both"/>
      </w:pPr>
    </w:p>
    <w:p w14:paraId="300EA0DE" w14:textId="02EC1AD7" w:rsidR="00C21E87" w:rsidRPr="00BF35AD" w:rsidRDefault="001377AC" w:rsidP="001377AC">
      <w:pPr>
        <w:pStyle w:val="BodyText"/>
        <w:spacing w:line="480" w:lineRule="auto"/>
        <w:jc w:val="both"/>
      </w:pPr>
      <w:r>
        <w:rPr>
          <w:i/>
          <w:iCs/>
        </w:rPr>
        <w:t>State v Adams</w:t>
      </w:r>
      <w:r>
        <w:t>, 340 Or App 661, 667 (2025).</w:t>
      </w:r>
      <w:r w:rsidR="00BF35AD">
        <w:t xml:space="preserve"> </w:t>
      </w:r>
    </w:p>
    <w:p w14:paraId="4043C784" w14:textId="77777777" w:rsidR="00E851FC" w:rsidRDefault="00E851FC" w:rsidP="001377AC">
      <w:pPr>
        <w:pStyle w:val="BodyText"/>
        <w:spacing w:line="480" w:lineRule="auto"/>
        <w:jc w:val="both"/>
      </w:pPr>
    </w:p>
    <w:p w14:paraId="44C64829" w14:textId="7313D2BE" w:rsidR="00E851FC" w:rsidRPr="00C76306" w:rsidRDefault="00C76306" w:rsidP="00E76E97">
      <w:pPr>
        <w:pStyle w:val="BodyText"/>
        <w:keepNext/>
        <w:keepLines/>
        <w:numPr>
          <w:ilvl w:val="1"/>
          <w:numId w:val="8"/>
        </w:numPr>
        <w:ind w:left="1685"/>
        <w:jc w:val="both"/>
        <w:rPr>
          <w:b/>
          <w:bCs/>
        </w:rPr>
      </w:pPr>
      <w:r>
        <w:rPr>
          <w:b/>
          <w:bCs/>
        </w:rPr>
        <w:lastRenderedPageBreak/>
        <w:t>THE FIREARM AND TOOLMARK EXAMINATION EVIDENCE WOULD CONFUSE AND MISLEAD THE JURY AND SHOULD BE EXCLUDED UNDER MRE 403</w:t>
      </w:r>
    </w:p>
    <w:p w14:paraId="173DF676" w14:textId="77777777" w:rsidR="00C76306" w:rsidRDefault="00C76306" w:rsidP="00C76306">
      <w:pPr>
        <w:pStyle w:val="BodyText"/>
        <w:jc w:val="both"/>
      </w:pPr>
    </w:p>
    <w:p w14:paraId="29051966" w14:textId="3FE28815" w:rsidR="00C76306" w:rsidRDefault="00C76306" w:rsidP="00C76306">
      <w:pPr>
        <w:spacing w:after="0" w:line="480" w:lineRule="auto"/>
        <w:ind w:right="134" w:firstLine="720"/>
        <w:jc w:val="both"/>
        <w:rPr>
          <w:rFonts w:ascii="Times New Roman" w:hAnsi="Times New Roman" w:cs="Times New Roman"/>
          <w:sz w:val="24"/>
          <w:szCs w:val="24"/>
        </w:rPr>
      </w:pPr>
      <w:r>
        <w:rPr>
          <w:rFonts w:ascii="Times New Roman" w:hAnsi="Times New Roman" w:cs="Times New Roman"/>
          <w:sz w:val="24"/>
          <w:szCs w:val="24"/>
        </w:rPr>
        <w:t>A</w:t>
      </w:r>
      <w:r w:rsidRPr="00D10655">
        <w:rPr>
          <w:rFonts w:ascii="Times New Roman" w:hAnsi="Times New Roman" w:cs="Times New Roman"/>
          <w:spacing w:val="-7"/>
          <w:sz w:val="24"/>
          <w:szCs w:val="24"/>
        </w:rPr>
        <w:t xml:space="preserve"> </w:t>
      </w:r>
      <w:r w:rsidRPr="00D10655">
        <w:rPr>
          <w:rFonts w:ascii="Times New Roman" w:hAnsi="Times New Roman" w:cs="Times New Roman"/>
          <w:sz w:val="24"/>
          <w:szCs w:val="24"/>
        </w:rPr>
        <w:t>court</w:t>
      </w:r>
      <w:r w:rsidRPr="00D10655">
        <w:rPr>
          <w:rFonts w:ascii="Times New Roman" w:hAnsi="Times New Roman" w:cs="Times New Roman"/>
          <w:spacing w:val="-5"/>
          <w:sz w:val="24"/>
          <w:szCs w:val="24"/>
        </w:rPr>
        <w:t xml:space="preserve"> </w:t>
      </w:r>
      <w:r w:rsidRPr="00D10655">
        <w:rPr>
          <w:rFonts w:ascii="Times New Roman" w:hAnsi="Times New Roman" w:cs="Times New Roman"/>
          <w:sz w:val="24"/>
          <w:szCs w:val="24"/>
        </w:rPr>
        <w:t>has</w:t>
      </w:r>
      <w:r w:rsidRPr="00D10655">
        <w:rPr>
          <w:rFonts w:ascii="Times New Roman" w:hAnsi="Times New Roman" w:cs="Times New Roman"/>
          <w:spacing w:val="-6"/>
          <w:sz w:val="24"/>
          <w:szCs w:val="24"/>
        </w:rPr>
        <w:t xml:space="preserve"> </w:t>
      </w:r>
      <w:r w:rsidRPr="00D10655">
        <w:rPr>
          <w:rFonts w:ascii="Times New Roman" w:hAnsi="Times New Roman" w:cs="Times New Roman"/>
          <w:sz w:val="24"/>
          <w:szCs w:val="24"/>
        </w:rPr>
        <w:t>broad</w:t>
      </w:r>
      <w:r w:rsidRPr="00D10655">
        <w:rPr>
          <w:rFonts w:ascii="Times New Roman" w:hAnsi="Times New Roman" w:cs="Times New Roman"/>
          <w:spacing w:val="-3"/>
          <w:sz w:val="24"/>
          <w:szCs w:val="24"/>
        </w:rPr>
        <w:t xml:space="preserve"> </w:t>
      </w:r>
      <w:r w:rsidRPr="00D10655">
        <w:rPr>
          <w:rFonts w:ascii="Times New Roman" w:hAnsi="Times New Roman" w:cs="Times New Roman"/>
          <w:sz w:val="24"/>
          <w:szCs w:val="24"/>
        </w:rPr>
        <w:t>discretion</w:t>
      </w:r>
      <w:r w:rsidRPr="00D10655">
        <w:rPr>
          <w:rFonts w:ascii="Times New Roman" w:hAnsi="Times New Roman" w:cs="Times New Roman"/>
          <w:spacing w:val="-6"/>
          <w:sz w:val="24"/>
          <w:szCs w:val="24"/>
        </w:rPr>
        <w:t xml:space="preserve"> </w:t>
      </w:r>
      <w:r w:rsidRPr="00D10655">
        <w:rPr>
          <w:rFonts w:ascii="Times New Roman" w:hAnsi="Times New Roman" w:cs="Times New Roman"/>
          <w:sz w:val="24"/>
          <w:szCs w:val="24"/>
        </w:rPr>
        <w:t>to</w:t>
      </w:r>
      <w:r w:rsidRPr="00D10655">
        <w:rPr>
          <w:rFonts w:ascii="Times New Roman" w:hAnsi="Times New Roman" w:cs="Times New Roman"/>
          <w:spacing w:val="-6"/>
          <w:sz w:val="24"/>
          <w:szCs w:val="24"/>
        </w:rPr>
        <w:t xml:space="preserve"> </w:t>
      </w:r>
      <w:r w:rsidRPr="00D10655">
        <w:rPr>
          <w:rFonts w:ascii="Times New Roman" w:hAnsi="Times New Roman" w:cs="Times New Roman"/>
          <w:sz w:val="24"/>
          <w:szCs w:val="24"/>
        </w:rPr>
        <w:t>ensure</w:t>
      </w:r>
      <w:r w:rsidRPr="00D10655">
        <w:rPr>
          <w:rFonts w:ascii="Times New Roman" w:hAnsi="Times New Roman" w:cs="Times New Roman"/>
          <w:spacing w:val="-7"/>
          <w:sz w:val="24"/>
          <w:szCs w:val="24"/>
        </w:rPr>
        <w:t xml:space="preserve"> </w:t>
      </w:r>
      <w:r w:rsidRPr="00D10655">
        <w:rPr>
          <w:rFonts w:ascii="Times New Roman" w:hAnsi="Times New Roman" w:cs="Times New Roman"/>
          <w:sz w:val="24"/>
          <w:szCs w:val="24"/>
        </w:rPr>
        <w:t>that</w:t>
      </w:r>
      <w:r w:rsidRPr="00D10655">
        <w:rPr>
          <w:rFonts w:ascii="Times New Roman" w:hAnsi="Times New Roman" w:cs="Times New Roman"/>
          <w:spacing w:val="-8"/>
          <w:sz w:val="24"/>
          <w:szCs w:val="24"/>
        </w:rPr>
        <w:t xml:space="preserve"> </w:t>
      </w:r>
      <w:r w:rsidRPr="00D10655">
        <w:rPr>
          <w:rFonts w:ascii="Times New Roman" w:hAnsi="Times New Roman" w:cs="Times New Roman"/>
          <w:sz w:val="24"/>
          <w:szCs w:val="24"/>
        </w:rPr>
        <w:t>evidence</w:t>
      </w:r>
      <w:r w:rsidRPr="00D10655">
        <w:rPr>
          <w:rFonts w:ascii="Times New Roman" w:hAnsi="Times New Roman" w:cs="Times New Roman"/>
          <w:spacing w:val="-7"/>
          <w:sz w:val="24"/>
          <w:szCs w:val="24"/>
        </w:rPr>
        <w:t xml:space="preserve"> </w:t>
      </w:r>
      <w:r w:rsidRPr="00D10655">
        <w:rPr>
          <w:rFonts w:ascii="Times New Roman" w:hAnsi="Times New Roman" w:cs="Times New Roman"/>
          <w:sz w:val="24"/>
          <w:szCs w:val="24"/>
        </w:rPr>
        <w:t>is</w:t>
      </w:r>
      <w:r w:rsidRPr="00D10655">
        <w:rPr>
          <w:rFonts w:ascii="Times New Roman" w:hAnsi="Times New Roman" w:cs="Times New Roman"/>
          <w:spacing w:val="-6"/>
          <w:sz w:val="24"/>
          <w:szCs w:val="24"/>
        </w:rPr>
        <w:t xml:space="preserve"> </w:t>
      </w:r>
      <w:r w:rsidRPr="00D10655">
        <w:rPr>
          <w:rFonts w:ascii="Times New Roman" w:hAnsi="Times New Roman" w:cs="Times New Roman"/>
          <w:sz w:val="24"/>
          <w:szCs w:val="24"/>
        </w:rPr>
        <w:t>presented</w:t>
      </w:r>
      <w:r w:rsidRPr="00D10655">
        <w:rPr>
          <w:rFonts w:ascii="Times New Roman" w:hAnsi="Times New Roman" w:cs="Times New Roman"/>
          <w:spacing w:val="-6"/>
          <w:sz w:val="24"/>
          <w:szCs w:val="24"/>
        </w:rPr>
        <w:t xml:space="preserve"> </w:t>
      </w:r>
      <w:r w:rsidRPr="00D10655">
        <w:rPr>
          <w:rFonts w:ascii="Times New Roman" w:hAnsi="Times New Roman" w:cs="Times New Roman"/>
          <w:sz w:val="24"/>
          <w:szCs w:val="24"/>
        </w:rPr>
        <w:t>to</w:t>
      </w:r>
      <w:r w:rsidRPr="00D10655">
        <w:rPr>
          <w:rFonts w:ascii="Times New Roman" w:hAnsi="Times New Roman" w:cs="Times New Roman"/>
          <w:spacing w:val="-6"/>
          <w:sz w:val="24"/>
          <w:szCs w:val="24"/>
        </w:rPr>
        <w:t xml:space="preserve"> </w:t>
      </w:r>
      <w:r w:rsidRPr="00D10655">
        <w:rPr>
          <w:rFonts w:ascii="Times New Roman" w:hAnsi="Times New Roman" w:cs="Times New Roman"/>
          <w:sz w:val="24"/>
          <w:szCs w:val="24"/>
        </w:rPr>
        <w:t>the</w:t>
      </w:r>
      <w:r w:rsidRPr="00D10655">
        <w:rPr>
          <w:rFonts w:ascii="Times New Roman" w:hAnsi="Times New Roman" w:cs="Times New Roman"/>
          <w:spacing w:val="-7"/>
          <w:sz w:val="24"/>
          <w:szCs w:val="24"/>
        </w:rPr>
        <w:t xml:space="preserve"> </w:t>
      </w:r>
      <w:r w:rsidRPr="00D10655">
        <w:rPr>
          <w:rFonts w:ascii="Times New Roman" w:hAnsi="Times New Roman" w:cs="Times New Roman"/>
          <w:sz w:val="24"/>
          <w:szCs w:val="24"/>
        </w:rPr>
        <w:t>jury</w:t>
      </w:r>
      <w:r w:rsidRPr="00D10655">
        <w:rPr>
          <w:rFonts w:ascii="Times New Roman" w:hAnsi="Times New Roman" w:cs="Times New Roman"/>
          <w:spacing w:val="-6"/>
          <w:sz w:val="24"/>
          <w:szCs w:val="24"/>
        </w:rPr>
        <w:t xml:space="preserve"> </w:t>
      </w:r>
      <w:r w:rsidRPr="00D10655">
        <w:rPr>
          <w:rFonts w:ascii="Times New Roman" w:hAnsi="Times New Roman" w:cs="Times New Roman"/>
          <w:sz w:val="24"/>
          <w:szCs w:val="24"/>
        </w:rPr>
        <w:t>in</w:t>
      </w:r>
      <w:r w:rsidRPr="00D10655">
        <w:rPr>
          <w:rFonts w:ascii="Times New Roman" w:hAnsi="Times New Roman" w:cs="Times New Roman"/>
          <w:spacing w:val="-6"/>
          <w:sz w:val="24"/>
          <w:szCs w:val="24"/>
        </w:rPr>
        <w:t xml:space="preserve"> </w:t>
      </w:r>
      <w:r w:rsidRPr="00D10655">
        <w:rPr>
          <w:rFonts w:ascii="Times New Roman" w:hAnsi="Times New Roman" w:cs="Times New Roman"/>
          <w:sz w:val="24"/>
          <w:szCs w:val="24"/>
        </w:rPr>
        <w:t>an</w:t>
      </w:r>
      <w:r w:rsidRPr="00D10655">
        <w:rPr>
          <w:rFonts w:ascii="Times New Roman" w:hAnsi="Times New Roman" w:cs="Times New Roman"/>
          <w:spacing w:val="-6"/>
          <w:sz w:val="24"/>
          <w:szCs w:val="24"/>
        </w:rPr>
        <w:t xml:space="preserve"> </w:t>
      </w:r>
      <w:r w:rsidRPr="00D10655">
        <w:rPr>
          <w:rFonts w:ascii="Times New Roman" w:hAnsi="Times New Roman" w:cs="Times New Roman"/>
          <w:sz w:val="24"/>
          <w:szCs w:val="24"/>
        </w:rPr>
        <w:t xml:space="preserve">effective and efficient manner. </w:t>
      </w:r>
      <w:r w:rsidRPr="00D10655">
        <w:rPr>
          <w:rFonts w:ascii="Times New Roman" w:hAnsi="Times New Roman" w:cs="Times New Roman"/>
          <w:i/>
          <w:sz w:val="24"/>
          <w:szCs w:val="24"/>
        </w:rPr>
        <w:t xml:space="preserve">See </w:t>
      </w:r>
      <w:r w:rsidRPr="00D10655">
        <w:rPr>
          <w:rFonts w:ascii="Times New Roman" w:hAnsi="Times New Roman" w:cs="Times New Roman"/>
          <w:sz w:val="24"/>
          <w:szCs w:val="24"/>
        </w:rPr>
        <w:t>MRE 611(a). A trial results in a “binding legal judgment—often of great consequence—about a</w:t>
      </w:r>
      <w:r w:rsidRPr="00D10655">
        <w:rPr>
          <w:rFonts w:ascii="Times New Roman" w:hAnsi="Times New Roman" w:cs="Times New Roman"/>
          <w:spacing w:val="-3"/>
          <w:sz w:val="24"/>
          <w:szCs w:val="24"/>
        </w:rPr>
        <w:t xml:space="preserve"> </w:t>
      </w:r>
      <w:r w:rsidRPr="00D10655">
        <w:rPr>
          <w:rFonts w:ascii="Times New Roman" w:hAnsi="Times New Roman" w:cs="Times New Roman"/>
          <w:sz w:val="24"/>
          <w:szCs w:val="24"/>
        </w:rPr>
        <w:t>particular</w:t>
      </w:r>
      <w:r w:rsidRPr="00D10655">
        <w:rPr>
          <w:rFonts w:ascii="Times New Roman" w:hAnsi="Times New Roman" w:cs="Times New Roman"/>
          <w:spacing w:val="-3"/>
          <w:sz w:val="24"/>
          <w:szCs w:val="24"/>
        </w:rPr>
        <w:t xml:space="preserve"> </w:t>
      </w:r>
      <w:r w:rsidRPr="00D10655">
        <w:rPr>
          <w:rFonts w:ascii="Times New Roman" w:hAnsi="Times New Roman" w:cs="Times New Roman"/>
          <w:sz w:val="24"/>
          <w:szCs w:val="24"/>
        </w:rPr>
        <w:t>set of</w:t>
      </w:r>
      <w:r w:rsidRPr="00D10655">
        <w:rPr>
          <w:rFonts w:ascii="Times New Roman" w:hAnsi="Times New Roman" w:cs="Times New Roman"/>
          <w:spacing w:val="-1"/>
          <w:sz w:val="24"/>
          <w:szCs w:val="24"/>
        </w:rPr>
        <w:t xml:space="preserve"> </w:t>
      </w:r>
      <w:r w:rsidRPr="00D10655">
        <w:rPr>
          <w:rFonts w:ascii="Times New Roman" w:hAnsi="Times New Roman" w:cs="Times New Roman"/>
          <w:sz w:val="24"/>
          <w:szCs w:val="24"/>
        </w:rPr>
        <w:t>events</w:t>
      </w:r>
      <w:r w:rsidRPr="00D10655">
        <w:rPr>
          <w:rFonts w:ascii="Times New Roman" w:hAnsi="Times New Roman" w:cs="Times New Roman"/>
          <w:spacing w:val="-2"/>
          <w:sz w:val="24"/>
          <w:szCs w:val="24"/>
        </w:rPr>
        <w:t xml:space="preserve"> </w:t>
      </w:r>
      <w:r w:rsidRPr="00D10655">
        <w:rPr>
          <w:rFonts w:ascii="Times New Roman" w:hAnsi="Times New Roman" w:cs="Times New Roman"/>
          <w:sz w:val="24"/>
          <w:szCs w:val="24"/>
        </w:rPr>
        <w:t>in</w:t>
      </w:r>
      <w:r w:rsidRPr="00D10655">
        <w:rPr>
          <w:rFonts w:ascii="Times New Roman" w:hAnsi="Times New Roman" w:cs="Times New Roman"/>
          <w:spacing w:val="-2"/>
          <w:sz w:val="24"/>
          <w:szCs w:val="24"/>
        </w:rPr>
        <w:t xml:space="preserve"> </w:t>
      </w:r>
      <w:r w:rsidRPr="00D10655">
        <w:rPr>
          <w:rFonts w:ascii="Times New Roman" w:hAnsi="Times New Roman" w:cs="Times New Roman"/>
          <w:sz w:val="24"/>
          <w:szCs w:val="24"/>
        </w:rPr>
        <w:t>the</w:t>
      </w:r>
      <w:r w:rsidRPr="00D10655">
        <w:rPr>
          <w:rFonts w:ascii="Times New Roman" w:hAnsi="Times New Roman" w:cs="Times New Roman"/>
          <w:spacing w:val="-3"/>
          <w:sz w:val="24"/>
          <w:szCs w:val="24"/>
        </w:rPr>
        <w:t xml:space="preserve"> </w:t>
      </w:r>
      <w:r w:rsidRPr="00D10655">
        <w:rPr>
          <w:rFonts w:ascii="Times New Roman" w:hAnsi="Times New Roman" w:cs="Times New Roman"/>
          <w:sz w:val="24"/>
          <w:szCs w:val="24"/>
        </w:rPr>
        <w:t>past.”</w:t>
      </w:r>
      <w:r w:rsidRPr="00D10655">
        <w:rPr>
          <w:rFonts w:ascii="Times New Roman" w:hAnsi="Times New Roman" w:cs="Times New Roman"/>
          <w:spacing w:val="-1"/>
          <w:sz w:val="24"/>
          <w:szCs w:val="24"/>
        </w:rPr>
        <w:t xml:space="preserve"> </w:t>
      </w:r>
      <w:r w:rsidRPr="00D10655">
        <w:rPr>
          <w:rFonts w:ascii="Times New Roman" w:hAnsi="Times New Roman" w:cs="Times New Roman"/>
          <w:i/>
          <w:sz w:val="24"/>
          <w:szCs w:val="24"/>
        </w:rPr>
        <w:t>Daubert</w:t>
      </w:r>
      <w:r w:rsidRPr="00D10655">
        <w:rPr>
          <w:rFonts w:ascii="Times New Roman" w:hAnsi="Times New Roman" w:cs="Times New Roman"/>
          <w:sz w:val="24"/>
          <w:szCs w:val="24"/>
        </w:rPr>
        <w:t>,</w:t>
      </w:r>
      <w:r w:rsidRPr="00D10655">
        <w:rPr>
          <w:rFonts w:ascii="Times New Roman" w:hAnsi="Times New Roman" w:cs="Times New Roman"/>
          <w:spacing w:val="-2"/>
          <w:sz w:val="24"/>
          <w:szCs w:val="24"/>
        </w:rPr>
        <w:t xml:space="preserve"> </w:t>
      </w:r>
      <w:r w:rsidRPr="00D10655">
        <w:rPr>
          <w:rFonts w:ascii="Times New Roman" w:hAnsi="Times New Roman" w:cs="Times New Roman"/>
          <w:sz w:val="24"/>
          <w:szCs w:val="24"/>
        </w:rPr>
        <w:t>509</w:t>
      </w:r>
      <w:r w:rsidRPr="00D10655">
        <w:rPr>
          <w:rFonts w:ascii="Times New Roman" w:hAnsi="Times New Roman" w:cs="Times New Roman"/>
          <w:spacing w:val="-2"/>
          <w:sz w:val="24"/>
          <w:szCs w:val="24"/>
        </w:rPr>
        <w:t xml:space="preserve"> </w:t>
      </w:r>
      <w:r w:rsidRPr="00D10655">
        <w:rPr>
          <w:rFonts w:ascii="Times New Roman" w:hAnsi="Times New Roman" w:cs="Times New Roman"/>
          <w:sz w:val="24"/>
          <w:szCs w:val="24"/>
        </w:rPr>
        <w:t>US</w:t>
      </w:r>
      <w:r w:rsidRPr="00D10655">
        <w:rPr>
          <w:rFonts w:ascii="Times New Roman" w:hAnsi="Times New Roman" w:cs="Times New Roman"/>
          <w:spacing w:val="-2"/>
          <w:sz w:val="24"/>
          <w:szCs w:val="24"/>
        </w:rPr>
        <w:t xml:space="preserve"> </w:t>
      </w:r>
      <w:r w:rsidRPr="00D10655">
        <w:rPr>
          <w:rFonts w:ascii="Times New Roman" w:hAnsi="Times New Roman" w:cs="Times New Roman"/>
          <w:sz w:val="24"/>
          <w:szCs w:val="24"/>
        </w:rPr>
        <w:t>at</w:t>
      </w:r>
      <w:r w:rsidRPr="00D10655">
        <w:rPr>
          <w:rFonts w:ascii="Times New Roman" w:hAnsi="Times New Roman" w:cs="Times New Roman"/>
          <w:spacing w:val="-2"/>
          <w:sz w:val="24"/>
          <w:szCs w:val="24"/>
        </w:rPr>
        <w:t xml:space="preserve"> </w:t>
      </w:r>
      <w:r w:rsidRPr="00D10655">
        <w:rPr>
          <w:rFonts w:ascii="Times New Roman" w:hAnsi="Times New Roman" w:cs="Times New Roman"/>
          <w:sz w:val="24"/>
          <w:szCs w:val="24"/>
        </w:rPr>
        <w:t>597. The</w:t>
      </w:r>
      <w:r w:rsidRPr="00D10655">
        <w:rPr>
          <w:rFonts w:ascii="Times New Roman" w:hAnsi="Times New Roman" w:cs="Times New Roman"/>
          <w:spacing w:val="-1"/>
          <w:sz w:val="24"/>
          <w:szCs w:val="24"/>
        </w:rPr>
        <w:t xml:space="preserve"> </w:t>
      </w:r>
      <w:r w:rsidRPr="00D10655">
        <w:rPr>
          <w:rFonts w:ascii="Times New Roman" w:hAnsi="Times New Roman" w:cs="Times New Roman"/>
          <w:sz w:val="24"/>
          <w:szCs w:val="24"/>
        </w:rPr>
        <w:t>rules</w:t>
      </w:r>
      <w:r w:rsidRPr="00D10655">
        <w:rPr>
          <w:rFonts w:ascii="Times New Roman" w:hAnsi="Times New Roman" w:cs="Times New Roman"/>
          <w:spacing w:val="-2"/>
          <w:sz w:val="24"/>
          <w:szCs w:val="24"/>
        </w:rPr>
        <w:t xml:space="preserve"> </w:t>
      </w:r>
      <w:r w:rsidRPr="00D10655">
        <w:rPr>
          <w:rFonts w:ascii="Times New Roman" w:hAnsi="Times New Roman" w:cs="Times New Roman"/>
          <w:sz w:val="24"/>
          <w:szCs w:val="24"/>
        </w:rPr>
        <w:t>of evidence</w:t>
      </w:r>
      <w:r w:rsidRPr="00D10655">
        <w:rPr>
          <w:rFonts w:ascii="Times New Roman" w:hAnsi="Times New Roman" w:cs="Times New Roman"/>
          <w:spacing w:val="-3"/>
          <w:sz w:val="24"/>
          <w:szCs w:val="24"/>
        </w:rPr>
        <w:t xml:space="preserve"> </w:t>
      </w:r>
      <w:r w:rsidRPr="00D10655">
        <w:rPr>
          <w:rFonts w:ascii="Times New Roman" w:hAnsi="Times New Roman" w:cs="Times New Roman"/>
          <w:sz w:val="24"/>
          <w:szCs w:val="24"/>
        </w:rPr>
        <w:t>apply</w:t>
      </w:r>
      <w:r w:rsidRPr="00D10655">
        <w:rPr>
          <w:rFonts w:ascii="Times New Roman" w:hAnsi="Times New Roman" w:cs="Times New Roman"/>
          <w:spacing w:val="-5"/>
          <w:sz w:val="24"/>
          <w:szCs w:val="24"/>
        </w:rPr>
        <w:t xml:space="preserve"> </w:t>
      </w:r>
      <w:r w:rsidRPr="00D10655">
        <w:rPr>
          <w:rFonts w:ascii="Times New Roman" w:hAnsi="Times New Roman" w:cs="Times New Roman"/>
          <w:sz w:val="24"/>
          <w:szCs w:val="24"/>
        </w:rPr>
        <w:t>with</w:t>
      </w:r>
      <w:r w:rsidRPr="00D10655">
        <w:rPr>
          <w:rFonts w:ascii="Times New Roman" w:hAnsi="Times New Roman" w:cs="Times New Roman"/>
          <w:spacing w:val="-5"/>
          <w:sz w:val="24"/>
          <w:szCs w:val="24"/>
        </w:rPr>
        <w:t xml:space="preserve"> </w:t>
      </w:r>
      <w:r w:rsidRPr="00D10655">
        <w:rPr>
          <w:rFonts w:ascii="Times New Roman" w:hAnsi="Times New Roman" w:cs="Times New Roman"/>
          <w:sz w:val="24"/>
          <w:szCs w:val="24"/>
        </w:rPr>
        <w:t>equal</w:t>
      </w:r>
      <w:r w:rsidRPr="00D10655">
        <w:rPr>
          <w:rFonts w:ascii="Times New Roman" w:hAnsi="Times New Roman" w:cs="Times New Roman"/>
          <w:spacing w:val="-4"/>
          <w:sz w:val="24"/>
          <w:szCs w:val="24"/>
        </w:rPr>
        <w:t xml:space="preserve"> </w:t>
      </w:r>
      <w:r w:rsidRPr="00D10655">
        <w:rPr>
          <w:rFonts w:ascii="Times New Roman" w:hAnsi="Times New Roman" w:cs="Times New Roman"/>
          <w:sz w:val="24"/>
          <w:szCs w:val="24"/>
        </w:rPr>
        <w:t>force</w:t>
      </w:r>
      <w:r w:rsidRPr="00D10655">
        <w:rPr>
          <w:rFonts w:ascii="Times New Roman" w:hAnsi="Times New Roman" w:cs="Times New Roman"/>
          <w:spacing w:val="-3"/>
          <w:sz w:val="24"/>
          <w:szCs w:val="24"/>
        </w:rPr>
        <w:t xml:space="preserve"> </w:t>
      </w:r>
      <w:r w:rsidRPr="00D10655">
        <w:rPr>
          <w:rFonts w:ascii="Times New Roman" w:hAnsi="Times New Roman" w:cs="Times New Roman"/>
          <w:sz w:val="24"/>
          <w:szCs w:val="24"/>
        </w:rPr>
        <w:t>to</w:t>
      </w:r>
      <w:r w:rsidRPr="00D10655">
        <w:rPr>
          <w:rFonts w:ascii="Times New Roman" w:hAnsi="Times New Roman" w:cs="Times New Roman"/>
          <w:spacing w:val="-5"/>
          <w:sz w:val="24"/>
          <w:szCs w:val="24"/>
        </w:rPr>
        <w:t xml:space="preserve"> </w:t>
      </w:r>
      <w:r w:rsidRPr="00D10655">
        <w:rPr>
          <w:rFonts w:ascii="Times New Roman" w:hAnsi="Times New Roman" w:cs="Times New Roman"/>
          <w:sz w:val="24"/>
          <w:szCs w:val="24"/>
        </w:rPr>
        <w:t>questions</w:t>
      </w:r>
      <w:r w:rsidRPr="00D10655">
        <w:rPr>
          <w:rFonts w:ascii="Times New Roman" w:hAnsi="Times New Roman" w:cs="Times New Roman"/>
          <w:spacing w:val="-5"/>
          <w:sz w:val="24"/>
          <w:szCs w:val="24"/>
        </w:rPr>
        <w:t xml:space="preserve"> </w:t>
      </w:r>
      <w:r w:rsidRPr="00D10655">
        <w:rPr>
          <w:rFonts w:ascii="Times New Roman" w:hAnsi="Times New Roman" w:cs="Times New Roman"/>
          <w:sz w:val="24"/>
          <w:szCs w:val="24"/>
        </w:rPr>
        <w:t>of</w:t>
      </w:r>
      <w:r w:rsidRPr="00D10655">
        <w:rPr>
          <w:rFonts w:ascii="Times New Roman" w:hAnsi="Times New Roman" w:cs="Times New Roman"/>
          <w:spacing w:val="-6"/>
          <w:sz w:val="24"/>
          <w:szCs w:val="24"/>
        </w:rPr>
        <w:t xml:space="preserve"> </w:t>
      </w:r>
      <w:r w:rsidRPr="00D10655">
        <w:rPr>
          <w:rFonts w:ascii="Times New Roman" w:hAnsi="Times New Roman" w:cs="Times New Roman"/>
          <w:sz w:val="24"/>
          <w:szCs w:val="24"/>
        </w:rPr>
        <w:t>admissibility</w:t>
      </w:r>
      <w:r w:rsidRPr="00D10655">
        <w:rPr>
          <w:rFonts w:ascii="Times New Roman" w:hAnsi="Times New Roman" w:cs="Times New Roman"/>
          <w:spacing w:val="-5"/>
          <w:sz w:val="24"/>
          <w:szCs w:val="24"/>
        </w:rPr>
        <w:t xml:space="preserve"> </w:t>
      </w:r>
      <w:r w:rsidRPr="00D10655">
        <w:rPr>
          <w:rFonts w:ascii="Times New Roman" w:hAnsi="Times New Roman" w:cs="Times New Roman"/>
          <w:sz w:val="24"/>
          <w:szCs w:val="24"/>
        </w:rPr>
        <w:t>in</w:t>
      </w:r>
      <w:r w:rsidRPr="00D10655">
        <w:rPr>
          <w:rFonts w:ascii="Times New Roman" w:hAnsi="Times New Roman" w:cs="Times New Roman"/>
          <w:spacing w:val="-5"/>
          <w:sz w:val="24"/>
          <w:szCs w:val="24"/>
        </w:rPr>
        <w:t xml:space="preserve"> </w:t>
      </w:r>
      <w:r w:rsidRPr="00D10655">
        <w:rPr>
          <w:rFonts w:ascii="Times New Roman" w:hAnsi="Times New Roman" w:cs="Times New Roman"/>
          <w:sz w:val="24"/>
          <w:szCs w:val="24"/>
        </w:rPr>
        <w:t>criminal</w:t>
      </w:r>
      <w:r w:rsidRPr="00D10655">
        <w:rPr>
          <w:rFonts w:ascii="Times New Roman" w:hAnsi="Times New Roman" w:cs="Times New Roman"/>
          <w:spacing w:val="-4"/>
          <w:sz w:val="24"/>
          <w:szCs w:val="24"/>
        </w:rPr>
        <w:t xml:space="preserve"> </w:t>
      </w:r>
      <w:r w:rsidRPr="00D10655">
        <w:rPr>
          <w:rFonts w:ascii="Times New Roman" w:hAnsi="Times New Roman" w:cs="Times New Roman"/>
          <w:sz w:val="24"/>
          <w:szCs w:val="24"/>
        </w:rPr>
        <w:t>cases,</w:t>
      </w:r>
      <w:r w:rsidRPr="00D10655">
        <w:rPr>
          <w:rFonts w:ascii="Times New Roman" w:hAnsi="Times New Roman" w:cs="Times New Roman"/>
          <w:spacing w:val="-5"/>
          <w:sz w:val="24"/>
          <w:szCs w:val="24"/>
        </w:rPr>
        <w:t xml:space="preserve"> </w:t>
      </w:r>
      <w:r w:rsidRPr="00D10655">
        <w:rPr>
          <w:rFonts w:ascii="Times New Roman" w:hAnsi="Times New Roman" w:cs="Times New Roman"/>
          <w:sz w:val="24"/>
          <w:szCs w:val="24"/>
        </w:rPr>
        <w:t>where</w:t>
      </w:r>
      <w:r w:rsidRPr="00D10655">
        <w:rPr>
          <w:rFonts w:ascii="Times New Roman" w:hAnsi="Times New Roman" w:cs="Times New Roman"/>
          <w:spacing w:val="-6"/>
          <w:sz w:val="24"/>
          <w:szCs w:val="24"/>
        </w:rPr>
        <w:t xml:space="preserve"> </w:t>
      </w:r>
      <w:r w:rsidRPr="00D10655">
        <w:rPr>
          <w:rFonts w:ascii="Times New Roman" w:hAnsi="Times New Roman" w:cs="Times New Roman"/>
          <w:sz w:val="24"/>
          <w:szCs w:val="24"/>
        </w:rPr>
        <w:t>the</w:t>
      </w:r>
      <w:r w:rsidRPr="00D10655">
        <w:rPr>
          <w:rFonts w:ascii="Times New Roman" w:hAnsi="Times New Roman" w:cs="Times New Roman"/>
          <w:spacing w:val="-3"/>
          <w:sz w:val="24"/>
          <w:szCs w:val="24"/>
        </w:rPr>
        <w:t xml:space="preserve"> </w:t>
      </w:r>
      <w:r w:rsidRPr="00D10655">
        <w:rPr>
          <w:rFonts w:ascii="Times New Roman" w:hAnsi="Times New Roman" w:cs="Times New Roman"/>
          <w:sz w:val="24"/>
          <w:szCs w:val="24"/>
        </w:rPr>
        <w:t>consequence</w:t>
      </w:r>
      <w:r w:rsidRPr="00D10655">
        <w:rPr>
          <w:rFonts w:ascii="Times New Roman" w:hAnsi="Times New Roman" w:cs="Times New Roman"/>
          <w:spacing w:val="-6"/>
          <w:sz w:val="24"/>
          <w:szCs w:val="24"/>
        </w:rPr>
        <w:t xml:space="preserve"> </w:t>
      </w:r>
      <w:r w:rsidRPr="00D10655">
        <w:rPr>
          <w:rFonts w:ascii="Times New Roman" w:hAnsi="Times New Roman" w:cs="Times New Roman"/>
          <w:sz w:val="24"/>
          <w:szCs w:val="24"/>
        </w:rPr>
        <w:t>at stake is a wrongful conviction and attendant sentence.</w:t>
      </w:r>
      <w:r w:rsidRPr="00D10655">
        <w:rPr>
          <w:rStyle w:val="FootnoteReference"/>
          <w:rFonts w:ascii="Times New Roman" w:hAnsi="Times New Roman" w:cs="Times New Roman"/>
          <w:sz w:val="24"/>
          <w:szCs w:val="24"/>
        </w:rPr>
        <w:footnoteReference w:id="5"/>
      </w:r>
      <w:r w:rsidRPr="00D10655">
        <w:rPr>
          <w:rFonts w:ascii="Times New Roman" w:hAnsi="Times New Roman" w:cs="Times New Roman"/>
          <w:spacing w:val="-15"/>
          <w:sz w:val="24"/>
          <w:szCs w:val="24"/>
        </w:rPr>
        <w:t xml:space="preserve"> </w:t>
      </w:r>
      <w:r w:rsidRPr="00D10655">
        <w:rPr>
          <w:rFonts w:ascii="Times New Roman" w:hAnsi="Times New Roman" w:cs="Times New Roman"/>
          <w:sz w:val="24"/>
          <w:szCs w:val="24"/>
        </w:rPr>
        <w:t xml:space="preserve">Although “[vigorous cross-examination, presentation of contrary evidence, and careful instruction on the burden of proof are the traditional and appropriate means of attacking shaky but admissible evidence,” </w:t>
      </w:r>
      <w:r w:rsidRPr="00D10655">
        <w:rPr>
          <w:rFonts w:ascii="Times New Roman" w:hAnsi="Times New Roman" w:cs="Times New Roman"/>
          <w:i/>
          <w:sz w:val="24"/>
          <w:szCs w:val="24"/>
        </w:rPr>
        <w:t>id</w:t>
      </w:r>
      <w:r w:rsidRPr="00D10655">
        <w:rPr>
          <w:rFonts w:ascii="Times New Roman" w:hAnsi="Times New Roman" w:cs="Times New Roman"/>
          <w:sz w:val="24"/>
          <w:szCs w:val="24"/>
        </w:rPr>
        <w:t xml:space="preserve">. </w:t>
      </w:r>
      <w:proofErr w:type="gramStart"/>
      <w:r w:rsidRPr="00D10655">
        <w:rPr>
          <w:rFonts w:ascii="Times New Roman" w:hAnsi="Times New Roman" w:cs="Times New Roman"/>
          <w:sz w:val="24"/>
          <w:szCs w:val="24"/>
        </w:rPr>
        <w:t>at</w:t>
      </w:r>
      <w:proofErr w:type="gramEnd"/>
      <w:r w:rsidRPr="00D10655">
        <w:rPr>
          <w:rFonts w:ascii="Times New Roman" w:hAnsi="Times New Roman" w:cs="Times New Roman"/>
          <w:sz w:val="24"/>
          <w:szCs w:val="24"/>
        </w:rPr>
        <w:t xml:space="preserve"> 596, sometimes, clear effective presentation to the jury will be impossible.</w:t>
      </w:r>
    </w:p>
    <w:p w14:paraId="43AC23D0" w14:textId="77777777" w:rsidR="00C76306" w:rsidRDefault="00C76306" w:rsidP="00E76E97">
      <w:pPr>
        <w:spacing w:after="0" w:line="480" w:lineRule="auto"/>
        <w:ind w:right="130" w:firstLine="720"/>
        <w:jc w:val="both"/>
        <w:rPr>
          <w:rFonts w:ascii="Times New Roman" w:hAnsi="Times New Roman" w:cs="Times New Roman"/>
          <w:sz w:val="24"/>
          <w:szCs w:val="24"/>
        </w:rPr>
      </w:pPr>
      <w:r>
        <w:rPr>
          <w:rFonts w:ascii="Times New Roman" w:hAnsi="Times New Roman" w:cs="Times New Roman"/>
          <w:sz w:val="24"/>
          <w:szCs w:val="24"/>
        </w:rPr>
        <w:t xml:space="preserve">In addition to the requirements specific to expert testimony, a court must also serve as gatekeeper of relevant evidence. For evidence to be admissible, it must be relevant. MRE 402. Evidence is relevant if it tends to make any fact of consequences any more or less likely than without such evidence. MRE 401. Even if relevant, the court should exclude evidence if it is probative value is substantially outweighed by the danger of unfair prejudice, confusion of the issues, or misleading the jury. MRE 403. Courts have determined that firearm and toolmarks examination evidence are inadmissible on this basis. </w:t>
      </w:r>
    </w:p>
    <w:p w14:paraId="3DE6C086" w14:textId="63CAE3FD" w:rsidR="00C76306" w:rsidRPr="000272BE" w:rsidRDefault="00C76306" w:rsidP="00C76306">
      <w:pPr>
        <w:spacing w:after="0" w:line="480" w:lineRule="auto"/>
        <w:ind w:right="134" w:firstLine="720"/>
        <w:jc w:val="both"/>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iCs/>
          <w:sz w:val="24"/>
          <w:szCs w:val="24"/>
        </w:rPr>
        <w:t>People v Kimberley</w:t>
      </w:r>
      <w:r>
        <w:rPr>
          <w:rFonts w:ascii="Times New Roman" w:hAnsi="Times New Roman" w:cs="Times New Roman"/>
          <w:sz w:val="24"/>
          <w:szCs w:val="24"/>
        </w:rPr>
        <w:t xml:space="preserve">, a trial court in Cook County, Illinois, held firearm and toolmarks testimony creates a danger of prejudice against the defendant by using evidence against him that may not be technically sound. </w:t>
      </w:r>
      <w:r>
        <w:rPr>
          <w:rFonts w:ascii="Times New Roman" w:hAnsi="Times New Roman" w:cs="Times New Roman"/>
          <w:i/>
          <w:iCs/>
          <w:sz w:val="24"/>
          <w:szCs w:val="24"/>
        </w:rPr>
        <w:t>People v Diontay Kimberley</w:t>
      </w:r>
      <w:r>
        <w:rPr>
          <w:rFonts w:ascii="Times New Roman" w:hAnsi="Times New Roman" w:cs="Times New Roman"/>
          <w:sz w:val="24"/>
          <w:szCs w:val="24"/>
        </w:rPr>
        <w:t xml:space="preserve">, 22-CR-02932-01, July 1, 2025, p. </w:t>
      </w:r>
      <w:r>
        <w:rPr>
          <w:rFonts w:ascii="Times New Roman" w:hAnsi="Times New Roman" w:cs="Times New Roman"/>
          <w:sz w:val="24"/>
          <w:szCs w:val="24"/>
        </w:rPr>
        <w:lastRenderedPageBreak/>
        <w:t>51.</w:t>
      </w:r>
      <w:r w:rsidR="00BF35AD">
        <w:rPr>
          <w:rFonts w:ascii="Times New Roman" w:hAnsi="Times New Roman" w:cs="Times New Roman"/>
          <w:sz w:val="24"/>
          <w:szCs w:val="24"/>
        </w:rPr>
        <w:t xml:space="preserve"> </w:t>
      </w:r>
      <w:r w:rsidRPr="00BF35AD">
        <w:rPr>
          <w:rFonts w:ascii="Times New Roman" w:hAnsi="Times New Roman" w:cs="Times New Roman"/>
          <w:sz w:val="24"/>
          <w:szCs w:val="24"/>
        </w:rPr>
        <w:t>Such</w:t>
      </w:r>
      <w:r>
        <w:rPr>
          <w:rFonts w:ascii="Times New Roman" w:hAnsi="Times New Roman" w:cs="Times New Roman"/>
          <w:sz w:val="24"/>
          <w:szCs w:val="24"/>
        </w:rPr>
        <w:t xml:space="preserve"> evidence might confuse and mislead the jury because the evidence might not actually mean what it suggests. </w:t>
      </w:r>
      <w:r>
        <w:rPr>
          <w:rFonts w:ascii="Times New Roman" w:hAnsi="Times New Roman" w:cs="Times New Roman"/>
          <w:i/>
          <w:iCs/>
          <w:sz w:val="24"/>
          <w:szCs w:val="24"/>
        </w:rPr>
        <w:t>Id</w:t>
      </w:r>
      <w:r>
        <w:rPr>
          <w:rFonts w:ascii="Times New Roman" w:hAnsi="Times New Roman" w:cs="Times New Roman"/>
          <w:sz w:val="24"/>
          <w:szCs w:val="24"/>
        </w:rPr>
        <w:t xml:space="preserve">. </w:t>
      </w:r>
    </w:p>
    <w:p w14:paraId="1AAD901E" w14:textId="10FD27ED" w:rsidR="00E851FC" w:rsidRDefault="00A96D10" w:rsidP="00E76E97">
      <w:pPr>
        <w:pStyle w:val="BodyText"/>
        <w:spacing w:line="480" w:lineRule="auto"/>
        <w:ind w:firstLine="720"/>
        <w:jc w:val="both"/>
      </w:pPr>
      <w:r>
        <w:t xml:space="preserve">AFTE </w:t>
      </w:r>
      <w:r w:rsidR="00C76306">
        <w:t xml:space="preserve">identification evidence is presented to jurors as relevant and probative of whether a particular bullet or cartridge case was fired from a particular gun. In the abstract, such evidence could provide a link connecting </w:t>
      </w:r>
      <w:r w:rsidR="00E76E97">
        <w:t>[</w:t>
      </w:r>
      <w:r w:rsidR="00E76E97" w:rsidRPr="00E76E97">
        <w:rPr>
          <w:highlight w:val="yellow"/>
        </w:rPr>
        <w:t>Client Name</w:t>
      </w:r>
      <w:r w:rsidR="00E76E97">
        <w:t>]</w:t>
      </w:r>
      <w:r w:rsidR="00C76306">
        <w:t xml:space="preserve"> to</w:t>
      </w:r>
      <w:r w:rsidR="00E76E97">
        <w:t xml:space="preserve"> [</w:t>
      </w:r>
      <w:r w:rsidR="00E76E97" w:rsidRPr="00E76E97">
        <w:rPr>
          <w:highlight w:val="yellow"/>
        </w:rPr>
        <w:t>charged crime]</w:t>
      </w:r>
      <w:r w:rsidR="00C76306">
        <w:t xml:space="preserve">. However, when presented as scientific evidence, the AFTE identification evidence—an “identification” purportedly derived from application of forensic science—impairs, rather than helps, the </w:t>
      </w:r>
      <w:r w:rsidR="005D50E1">
        <w:t>truth finding</w:t>
      </w:r>
      <w:r w:rsidR="00C76306">
        <w:t xml:space="preserve"> process because it presents as scientific a conclusion that, in reality, is a subjective judgment of the examiner based only on the examiner’s training and experience and not on any objective standards of criteria. </w:t>
      </w:r>
      <w:r w:rsidR="00BF35AD" w:rsidRPr="00BF35AD">
        <w:rPr>
          <w:i/>
          <w:iCs/>
        </w:rPr>
        <w:t>Adams</w:t>
      </w:r>
      <w:r w:rsidR="00BF35AD">
        <w:t xml:space="preserve">, 340 Or App at </w:t>
      </w:r>
      <w:r w:rsidR="00C76306" w:rsidRPr="00BF35AD">
        <w:t>668</w:t>
      </w:r>
      <w:r w:rsidR="00C76306" w:rsidRPr="009406AE">
        <w:t xml:space="preserve"> (2025</w:t>
      </w:r>
      <w:r w:rsidR="00C76306">
        <w:t>). Thus, when firearm and toolmarks evidence is presented to jurors cloaked with the aura of reliability of science – even though it is not actually derived from science – it creates a danger of unfair prejudice and misleading the jury</w:t>
      </w:r>
      <w:r w:rsidR="00BA29B4">
        <w:t>.</w:t>
      </w:r>
    </w:p>
    <w:p w14:paraId="218D5E3B" w14:textId="4ABF1950" w:rsidR="001377AC" w:rsidRDefault="006C22A6" w:rsidP="001377AC">
      <w:pPr>
        <w:pStyle w:val="BodyText"/>
        <w:spacing w:line="480" w:lineRule="auto"/>
        <w:jc w:val="both"/>
      </w:pPr>
      <w:r>
        <w:tab/>
        <w:t xml:space="preserve">This </w:t>
      </w:r>
      <w:r w:rsidR="005C0E68">
        <w:t>c</w:t>
      </w:r>
      <w:r>
        <w:t xml:space="preserve">ourt should follow suit and </w:t>
      </w:r>
      <w:r w:rsidR="004647E0">
        <w:t xml:space="preserve">exclude the proffered opinion testimony regarding firearms and toolmarks. At minimum, this court should </w:t>
      </w:r>
      <w:r>
        <w:t xml:space="preserve">grant an evidentiary hearing at which the </w:t>
      </w:r>
      <w:r w:rsidR="004647E0">
        <w:t xml:space="preserve">government </w:t>
      </w:r>
      <w:r>
        <w:t xml:space="preserve">must prove that this proffered testimony is admissible under MRE 702. </w:t>
      </w:r>
    </w:p>
    <w:p w14:paraId="490A1092" w14:textId="77777777" w:rsidR="00325407" w:rsidRDefault="00325407" w:rsidP="001377AC">
      <w:pPr>
        <w:pStyle w:val="BodyText"/>
        <w:spacing w:line="480" w:lineRule="auto"/>
        <w:jc w:val="both"/>
      </w:pPr>
    </w:p>
    <w:p w14:paraId="55FEE152" w14:textId="77777777" w:rsidR="00325407" w:rsidRDefault="00325407" w:rsidP="001377AC">
      <w:pPr>
        <w:pStyle w:val="BodyText"/>
        <w:spacing w:line="480" w:lineRule="auto"/>
        <w:jc w:val="both"/>
      </w:pPr>
    </w:p>
    <w:p w14:paraId="423529D0" w14:textId="3FB4CE3A" w:rsidR="00325407" w:rsidRDefault="00325407" w:rsidP="001377AC">
      <w:pPr>
        <w:pStyle w:val="BodyText"/>
        <w:spacing w:line="480" w:lineRule="auto"/>
        <w:jc w:val="both"/>
      </w:pPr>
      <w:r>
        <w:t>Date: 7/14/25</w:t>
      </w:r>
      <w:r>
        <w:tab/>
      </w:r>
      <w:r>
        <w:tab/>
      </w:r>
      <w:r>
        <w:tab/>
      </w:r>
      <w:r>
        <w:tab/>
      </w:r>
      <w:r>
        <w:tab/>
      </w:r>
      <w:r>
        <w:tab/>
        <w:t xml:space="preserve">Respectfully submitted, </w:t>
      </w:r>
    </w:p>
    <w:p w14:paraId="56BE857F" w14:textId="7A70850B" w:rsidR="00325407" w:rsidRDefault="00325407" w:rsidP="00325407">
      <w:pPr>
        <w:pStyle w:val="BodyText"/>
        <w:jc w:val="both"/>
      </w:pPr>
      <w:r>
        <w:tab/>
      </w:r>
      <w:r>
        <w:tab/>
      </w:r>
      <w:r>
        <w:tab/>
      </w:r>
      <w:r>
        <w:tab/>
      </w:r>
      <w:r>
        <w:tab/>
      </w:r>
      <w:r>
        <w:tab/>
      </w:r>
      <w:r>
        <w:tab/>
        <w:t>Neighborhood Defender Service of Detroit</w:t>
      </w:r>
    </w:p>
    <w:p w14:paraId="2219B6E7" w14:textId="5C2F6DA5" w:rsidR="00325407" w:rsidRDefault="00325407" w:rsidP="00325407">
      <w:pPr>
        <w:pStyle w:val="BodyText"/>
        <w:ind w:left="4320" w:firstLine="720"/>
        <w:jc w:val="both"/>
      </w:pPr>
      <w:r>
        <w:t xml:space="preserve">1333 Brewery Park Blvd., Suite 350 </w:t>
      </w:r>
    </w:p>
    <w:p w14:paraId="44F6B3B5" w14:textId="5B45FEBD" w:rsidR="00325407" w:rsidRDefault="00325407" w:rsidP="00325407">
      <w:pPr>
        <w:pStyle w:val="BodyText"/>
        <w:ind w:left="4320" w:firstLine="720"/>
        <w:jc w:val="both"/>
      </w:pPr>
      <w:r>
        <w:t>Detroit, MI 48207</w:t>
      </w:r>
    </w:p>
    <w:p w14:paraId="0D65DC54" w14:textId="07F95BAC" w:rsidR="00325407" w:rsidRDefault="00325407" w:rsidP="001377AC">
      <w:pPr>
        <w:pStyle w:val="BodyText"/>
        <w:spacing w:line="480" w:lineRule="auto"/>
        <w:jc w:val="both"/>
      </w:pPr>
      <w:r>
        <w:tab/>
      </w:r>
      <w:r>
        <w:tab/>
      </w:r>
      <w:r>
        <w:tab/>
      </w:r>
      <w:r>
        <w:tab/>
      </w:r>
      <w:r>
        <w:tab/>
      </w:r>
      <w:r>
        <w:tab/>
      </w:r>
      <w:r>
        <w:tab/>
      </w:r>
    </w:p>
    <w:p w14:paraId="1C43A568" w14:textId="77777777" w:rsidR="006C22A6" w:rsidRDefault="006C22A6" w:rsidP="001377AC">
      <w:pPr>
        <w:pStyle w:val="BodyText"/>
        <w:spacing w:line="480" w:lineRule="auto"/>
        <w:jc w:val="both"/>
      </w:pPr>
    </w:p>
    <w:sectPr w:rsidR="006C22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AD614" w14:textId="77777777" w:rsidR="00484F3D" w:rsidRDefault="00484F3D" w:rsidP="00D10655">
      <w:pPr>
        <w:spacing w:after="0" w:line="240" w:lineRule="auto"/>
      </w:pPr>
      <w:r>
        <w:separator/>
      </w:r>
    </w:p>
  </w:endnote>
  <w:endnote w:type="continuationSeparator" w:id="0">
    <w:p w14:paraId="33392A75" w14:textId="77777777" w:rsidR="00484F3D" w:rsidRDefault="00484F3D" w:rsidP="00D10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FE6DD" w14:textId="77777777" w:rsidR="00484F3D" w:rsidRDefault="00484F3D" w:rsidP="00D10655">
      <w:pPr>
        <w:spacing w:after="0" w:line="240" w:lineRule="auto"/>
      </w:pPr>
      <w:r>
        <w:separator/>
      </w:r>
    </w:p>
  </w:footnote>
  <w:footnote w:type="continuationSeparator" w:id="0">
    <w:p w14:paraId="64E560F7" w14:textId="77777777" w:rsidR="00484F3D" w:rsidRDefault="00484F3D" w:rsidP="00D10655">
      <w:pPr>
        <w:spacing w:after="0" w:line="240" w:lineRule="auto"/>
      </w:pPr>
      <w:r>
        <w:continuationSeparator/>
      </w:r>
    </w:p>
  </w:footnote>
  <w:footnote w:id="1">
    <w:p w14:paraId="547ECFF4" w14:textId="046FEA99" w:rsidR="00C00EEC" w:rsidRPr="005C0E68" w:rsidRDefault="00C00EEC" w:rsidP="005C0E68">
      <w:pPr>
        <w:spacing w:after="120" w:line="240" w:lineRule="auto"/>
        <w:jc w:val="both"/>
        <w:rPr>
          <w:rFonts w:ascii="Times New Roman" w:hAnsi="Times New Roman" w:cs="Times New Roman"/>
          <w:sz w:val="24"/>
          <w:szCs w:val="24"/>
        </w:rPr>
      </w:pPr>
      <w:r w:rsidRPr="005C0E68">
        <w:rPr>
          <w:rStyle w:val="FootnoteReference"/>
          <w:rFonts w:ascii="Times New Roman" w:hAnsi="Times New Roman" w:cs="Times New Roman"/>
          <w:sz w:val="24"/>
          <w:szCs w:val="24"/>
        </w:rPr>
        <w:footnoteRef/>
      </w:r>
      <w:r w:rsidRPr="005C0E68">
        <w:rPr>
          <w:rFonts w:ascii="Times New Roman" w:hAnsi="Times New Roman" w:cs="Times New Roman"/>
          <w:sz w:val="24"/>
          <w:szCs w:val="24"/>
        </w:rPr>
        <w:t xml:space="preserve"> Available</w:t>
      </w:r>
      <w:r w:rsidRPr="005C0E68">
        <w:rPr>
          <w:rFonts w:ascii="Times New Roman" w:hAnsi="Times New Roman" w:cs="Times New Roman"/>
          <w:spacing w:val="-4"/>
          <w:sz w:val="24"/>
          <w:szCs w:val="24"/>
        </w:rPr>
        <w:t xml:space="preserve"> </w:t>
      </w:r>
      <w:r w:rsidRPr="005C0E68">
        <w:rPr>
          <w:rFonts w:ascii="Times New Roman" w:hAnsi="Times New Roman" w:cs="Times New Roman"/>
          <w:sz w:val="24"/>
          <w:szCs w:val="24"/>
        </w:rPr>
        <w:t>online</w:t>
      </w:r>
      <w:r w:rsidRPr="005C0E68">
        <w:rPr>
          <w:rFonts w:ascii="Times New Roman" w:hAnsi="Times New Roman" w:cs="Times New Roman"/>
          <w:spacing w:val="-4"/>
          <w:sz w:val="24"/>
          <w:szCs w:val="24"/>
        </w:rPr>
        <w:t xml:space="preserve"> </w:t>
      </w:r>
      <w:r w:rsidRPr="005C0E68">
        <w:rPr>
          <w:rFonts w:ascii="Times New Roman" w:hAnsi="Times New Roman" w:cs="Times New Roman"/>
          <w:sz w:val="24"/>
          <w:szCs w:val="24"/>
        </w:rPr>
        <w:t>at</w:t>
      </w:r>
      <w:r w:rsidRPr="005C0E68">
        <w:rPr>
          <w:rFonts w:ascii="Times New Roman" w:hAnsi="Times New Roman" w:cs="Times New Roman"/>
          <w:spacing w:val="-5"/>
          <w:sz w:val="24"/>
          <w:szCs w:val="24"/>
        </w:rPr>
        <w:t xml:space="preserve"> </w:t>
      </w:r>
      <w:hyperlink r:id="rId1">
        <w:r w:rsidRPr="005C0E68">
          <w:rPr>
            <w:rFonts w:ascii="Times New Roman" w:hAnsi="Times New Roman" w:cs="Times New Roman"/>
            <w:color w:val="0000FF"/>
            <w:spacing w:val="-2"/>
            <w:sz w:val="24"/>
            <w:szCs w:val="24"/>
            <w:u w:val="single" w:color="0000FF"/>
          </w:rPr>
          <w:t>https://www.ojp.gov/pdffiles1/nij/grants/228091.pdf</w:t>
        </w:r>
      </w:hyperlink>
      <w:r w:rsidR="00E76E97">
        <w:t>.</w:t>
      </w:r>
    </w:p>
  </w:footnote>
  <w:footnote w:id="2">
    <w:p w14:paraId="5208C6DF" w14:textId="5620008C" w:rsidR="00313999" w:rsidRPr="005C0E68" w:rsidRDefault="00313999" w:rsidP="005C0E68">
      <w:pPr>
        <w:pStyle w:val="FootnoteText"/>
        <w:spacing w:after="120"/>
        <w:jc w:val="both"/>
        <w:rPr>
          <w:rFonts w:ascii="Times New Roman" w:hAnsi="Times New Roman" w:cs="Times New Roman"/>
          <w:sz w:val="24"/>
          <w:szCs w:val="24"/>
        </w:rPr>
      </w:pPr>
      <w:r w:rsidRPr="005C0E68">
        <w:rPr>
          <w:rStyle w:val="FootnoteReference"/>
          <w:rFonts w:ascii="Times New Roman" w:hAnsi="Times New Roman" w:cs="Times New Roman"/>
          <w:sz w:val="24"/>
          <w:szCs w:val="24"/>
        </w:rPr>
        <w:footnoteRef/>
      </w:r>
      <w:r w:rsidRPr="005C0E68">
        <w:rPr>
          <w:rFonts w:ascii="Times New Roman" w:hAnsi="Times New Roman" w:cs="Times New Roman"/>
          <w:sz w:val="24"/>
          <w:szCs w:val="24"/>
        </w:rPr>
        <w:t xml:space="preserve"> President’s</w:t>
      </w:r>
      <w:r w:rsidRPr="005C0E68">
        <w:rPr>
          <w:rFonts w:ascii="Times New Roman" w:hAnsi="Times New Roman" w:cs="Times New Roman"/>
          <w:spacing w:val="-4"/>
          <w:sz w:val="24"/>
          <w:szCs w:val="24"/>
        </w:rPr>
        <w:t xml:space="preserve"> </w:t>
      </w:r>
      <w:r w:rsidRPr="005C0E68">
        <w:rPr>
          <w:rFonts w:ascii="Times New Roman" w:hAnsi="Times New Roman" w:cs="Times New Roman"/>
          <w:sz w:val="24"/>
          <w:szCs w:val="24"/>
        </w:rPr>
        <w:t>Council</w:t>
      </w:r>
      <w:r w:rsidRPr="005C0E68">
        <w:rPr>
          <w:rFonts w:ascii="Times New Roman" w:hAnsi="Times New Roman" w:cs="Times New Roman"/>
          <w:spacing w:val="-3"/>
          <w:sz w:val="24"/>
          <w:szCs w:val="24"/>
        </w:rPr>
        <w:t xml:space="preserve"> </w:t>
      </w:r>
      <w:r w:rsidRPr="005C0E68">
        <w:rPr>
          <w:rFonts w:ascii="Times New Roman" w:hAnsi="Times New Roman" w:cs="Times New Roman"/>
          <w:sz w:val="24"/>
          <w:szCs w:val="24"/>
        </w:rPr>
        <w:t>of</w:t>
      </w:r>
      <w:r w:rsidRPr="005C0E68">
        <w:rPr>
          <w:rFonts w:ascii="Times New Roman" w:hAnsi="Times New Roman" w:cs="Times New Roman"/>
          <w:spacing w:val="-2"/>
          <w:sz w:val="24"/>
          <w:szCs w:val="24"/>
        </w:rPr>
        <w:t xml:space="preserve"> </w:t>
      </w:r>
      <w:r w:rsidRPr="005C0E68">
        <w:rPr>
          <w:rFonts w:ascii="Times New Roman" w:hAnsi="Times New Roman" w:cs="Times New Roman"/>
          <w:sz w:val="24"/>
          <w:szCs w:val="24"/>
        </w:rPr>
        <w:t>Advisors</w:t>
      </w:r>
      <w:r w:rsidRPr="005C0E68">
        <w:rPr>
          <w:rFonts w:ascii="Times New Roman" w:hAnsi="Times New Roman" w:cs="Times New Roman"/>
          <w:spacing w:val="-4"/>
          <w:sz w:val="24"/>
          <w:szCs w:val="24"/>
        </w:rPr>
        <w:t xml:space="preserve"> </w:t>
      </w:r>
      <w:r w:rsidRPr="005C0E68">
        <w:rPr>
          <w:rFonts w:ascii="Times New Roman" w:hAnsi="Times New Roman" w:cs="Times New Roman"/>
          <w:sz w:val="24"/>
          <w:szCs w:val="24"/>
        </w:rPr>
        <w:t>on</w:t>
      </w:r>
      <w:r w:rsidRPr="005C0E68">
        <w:rPr>
          <w:rFonts w:ascii="Times New Roman" w:hAnsi="Times New Roman" w:cs="Times New Roman"/>
          <w:spacing w:val="-2"/>
          <w:sz w:val="24"/>
          <w:szCs w:val="24"/>
        </w:rPr>
        <w:t xml:space="preserve"> </w:t>
      </w:r>
      <w:r w:rsidRPr="005C0E68">
        <w:rPr>
          <w:rFonts w:ascii="Times New Roman" w:hAnsi="Times New Roman" w:cs="Times New Roman"/>
          <w:sz w:val="24"/>
          <w:szCs w:val="24"/>
        </w:rPr>
        <w:t>Science</w:t>
      </w:r>
      <w:r w:rsidRPr="005C0E68">
        <w:rPr>
          <w:rFonts w:ascii="Times New Roman" w:hAnsi="Times New Roman" w:cs="Times New Roman"/>
          <w:spacing w:val="-3"/>
          <w:sz w:val="24"/>
          <w:szCs w:val="24"/>
        </w:rPr>
        <w:t xml:space="preserve"> </w:t>
      </w:r>
      <w:r w:rsidRPr="005C0E68">
        <w:rPr>
          <w:rFonts w:ascii="Times New Roman" w:hAnsi="Times New Roman" w:cs="Times New Roman"/>
          <w:sz w:val="24"/>
          <w:szCs w:val="24"/>
        </w:rPr>
        <w:t>and</w:t>
      </w:r>
      <w:r w:rsidRPr="005C0E68">
        <w:rPr>
          <w:rFonts w:ascii="Times New Roman" w:hAnsi="Times New Roman" w:cs="Times New Roman"/>
          <w:spacing w:val="-2"/>
          <w:sz w:val="24"/>
          <w:szCs w:val="24"/>
        </w:rPr>
        <w:t xml:space="preserve"> </w:t>
      </w:r>
      <w:r w:rsidRPr="005C0E68">
        <w:rPr>
          <w:rFonts w:ascii="Times New Roman" w:hAnsi="Times New Roman" w:cs="Times New Roman"/>
          <w:sz w:val="24"/>
          <w:szCs w:val="24"/>
        </w:rPr>
        <w:t>Technology,</w:t>
      </w:r>
      <w:r w:rsidRPr="005C0E68">
        <w:rPr>
          <w:rFonts w:ascii="Times New Roman" w:hAnsi="Times New Roman" w:cs="Times New Roman"/>
          <w:spacing w:val="-2"/>
          <w:sz w:val="24"/>
          <w:szCs w:val="24"/>
        </w:rPr>
        <w:t xml:space="preserve"> </w:t>
      </w:r>
      <w:r w:rsidRPr="005C0E68">
        <w:rPr>
          <w:rFonts w:ascii="Times New Roman" w:hAnsi="Times New Roman" w:cs="Times New Roman"/>
          <w:sz w:val="24"/>
          <w:szCs w:val="24"/>
        </w:rPr>
        <w:t>Report</w:t>
      </w:r>
      <w:r w:rsidRPr="005C0E68">
        <w:rPr>
          <w:rFonts w:ascii="Times New Roman" w:hAnsi="Times New Roman" w:cs="Times New Roman"/>
          <w:spacing w:val="-3"/>
          <w:sz w:val="24"/>
          <w:szCs w:val="24"/>
        </w:rPr>
        <w:t xml:space="preserve"> </w:t>
      </w:r>
      <w:r w:rsidRPr="005C0E68">
        <w:rPr>
          <w:rFonts w:ascii="Times New Roman" w:hAnsi="Times New Roman" w:cs="Times New Roman"/>
          <w:sz w:val="24"/>
          <w:szCs w:val="24"/>
        </w:rPr>
        <w:t>to</w:t>
      </w:r>
      <w:r w:rsidRPr="005C0E68">
        <w:rPr>
          <w:rFonts w:ascii="Times New Roman" w:hAnsi="Times New Roman" w:cs="Times New Roman"/>
          <w:spacing w:val="-2"/>
          <w:sz w:val="24"/>
          <w:szCs w:val="24"/>
        </w:rPr>
        <w:t xml:space="preserve"> </w:t>
      </w:r>
      <w:r w:rsidRPr="005C0E68">
        <w:rPr>
          <w:rFonts w:ascii="Times New Roman" w:hAnsi="Times New Roman" w:cs="Times New Roman"/>
          <w:sz w:val="24"/>
          <w:szCs w:val="24"/>
        </w:rPr>
        <w:t>the</w:t>
      </w:r>
      <w:r w:rsidRPr="005C0E68">
        <w:rPr>
          <w:rFonts w:ascii="Times New Roman" w:hAnsi="Times New Roman" w:cs="Times New Roman"/>
          <w:spacing w:val="-3"/>
          <w:sz w:val="24"/>
          <w:szCs w:val="24"/>
        </w:rPr>
        <w:t xml:space="preserve"> </w:t>
      </w:r>
      <w:r w:rsidRPr="005C0E68">
        <w:rPr>
          <w:rFonts w:ascii="Times New Roman" w:hAnsi="Times New Roman" w:cs="Times New Roman"/>
          <w:sz w:val="24"/>
          <w:szCs w:val="24"/>
        </w:rPr>
        <w:t>President,</w:t>
      </w:r>
      <w:r w:rsidRPr="005C0E68">
        <w:rPr>
          <w:rFonts w:ascii="Times New Roman" w:hAnsi="Times New Roman" w:cs="Times New Roman"/>
          <w:spacing w:val="-2"/>
          <w:sz w:val="24"/>
          <w:szCs w:val="24"/>
        </w:rPr>
        <w:t xml:space="preserve"> </w:t>
      </w:r>
      <w:r w:rsidRPr="005C0E68">
        <w:rPr>
          <w:rFonts w:ascii="Times New Roman" w:hAnsi="Times New Roman" w:cs="Times New Roman"/>
          <w:sz w:val="24"/>
          <w:szCs w:val="24"/>
        </w:rPr>
        <w:t>“Forensic</w:t>
      </w:r>
      <w:r w:rsidRPr="005C0E68">
        <w:rPr>
          <w:rFonts w:ascii="Times New Roman" w:hAnsi="Times New Roman" w:cs="Times New Roman"/>
          <w:spacing w:val="-3"/>
          <w:sz w:val="24"/>
          <w:szCs w:val="24"/>
        </w:rPr>
        <w:t xml:space="preserve"> </w:t>
      </w:r>
      <w:r w:rsidRPr="005C0E68">
        <w:rPr>
          <w:rFonts w:ascii="Times New Roman" w:hAnsi="Times New Roman" w:cs="Times New Roman"/>
          <w:sz w:val="24"/>
          <w:szCs w:val="24"/>
        </w:rPr>
        <w:t>Science</w:t>
      </w:r>
      <w:r w:rsidRPr="005C0E68">
        <w:rPr>
          <w:rFonts w:ascii="Times New Roman" w:hAnsi="Times New Roman" w:cs="Times New Roman"/>
          <w:spacing w:val="-3"/>
          <w:sz w:val="24"/>
          <w:szCs w:val="24"/>
        </w:rPr>
        <w:t xml:space="preserve"> </w:t>
      </w:r>
      <w:r w:rsidRPr="005C0E68">
        <w:rPr>
          <w:rFonts w:ascii="Times New Roman" w:hAnsi="Times New Roman" w:cs="Times New Roman"/>
          <w:sz w:val="24"/>
          <w:szCs w:val="24"/>
        </w:rPr>
        <w:t>in</w:t>
      </w:r>
      <w:r w:rsidRPr="005C0E68">
        <w:rPr>
          <w:rFonts w:ascii="Times New Roman" w:hAnsi="Times New Roman" w:cs="Times New Roman"/>
          <w:spacing w:val="-2"/>
          <w:sz w:val="24"/>
          <w:szCs w:val="24"/>
        </w:rPr>
        <w:t xml:space="preserve"> </w:t>
      </w:r>
      <w:r w:rsidRPr="005C0E68">
        <w:rPr>
          <w:rFonts w:ascii="Times New Roman" w:hAnsi="Times New Roman" w:cs="Times New Roman"/>
          <w:sz w:val="24"/>
          <w:szCs w:val="24"/>
        </w:rPr>
        <w:t>Criminal</w:t>
      </w:r>
      <w:r w:rsidRPr="005C0E68">
        <w:rPr>
          <w:rFonts w:ascii="Times New Roman" w:hAnsi="Times New Roman" w:cs="Times New Roman"/>
          <w:spacing w:val="-3"/>
          <w:sz w:val="24"/>
          <w:szCs w:val="24"/>
        </w:rPr>
        <w:t xml:space="preserve"> </w:t>
      </w:r>
      <w:r w:rsidRPr="005C0E68">
        <w:rPr>
          <w:rFonts w:ascii="Times New Roman" w:hAnsi="Times New Roman" w:cs="Times New Roman"/>
          <w:sz w:val="24"/>
          <w:szCs w:val="24"/>
        </w:rPr>
        <w:t xml:space="preserve">Courts: Ensuring Scientific Validity of Feature-Comparison Methods” (“PCAST Report”), located at </w:t>
      </w:r>
      <w:hyperlink r:id="rId2">
        <w:r w:rsidRPr="005C0E68">
          <w:rPr>
            <w:rFonts w:ascii="Times New Roman" w:hAnsi="Times New Roman" w:cs="Times New Roman"/>
            <w:color w:val="0000FF"/>
            <w:spacing w:val="-2"/>
            <w:sz w:val="24"/>
            <w:szCs w:val="24"/>
            <w:u w:val="single" w:color="0000FF"/>
          </w:rPr>
          <w:t>https://obamawhitehouse.archives.gov/sites/default/files/microsites/ostp/PCAST/pcast_forensic_science_report_final.pdf</w:t>
        </w:r>
      </w:hyperlink>
      <w:r w:rsidRPr="005C0E68">
        <w:rPr>
          <w:rFonts w:ascii="Times New Roman" w:hAnsi="Times New Roman" w:cs="Times New Roman"/>
          <w:color w:val="0000FF"/>
          <w:spacing w:val="80"/>
          <w:w w:val="150"/>
          <w:sz w:val="24"/>
          <w:szCs w:val="24"/>
        </w:rPr>
        <w:t xml:space="preserve">  </w:t>
      </w:r>
      <w:r w:rsidRPr="005C0E68">
        <w:rPr>
          <w:rFonts w:ascii="Times New Roman" w:hAnsi="Times New Roman" w:cs="Times New Roman"/>
          <w:sz w:val="24"/>
          <w:szCs w:val="24"/>
        </w:rPr>
        <w:t>(last accessed</w:t>
      </w:r>
      <w:r w:rsidR="0084421C">
        <w:rPr>
          <w:rFonts w:ascii="Times New Roman" w:hAnsi="Times New Roman" w:cs="Times New Roman"/>
          <w:sz w:val="24"/>
          <w:szCs w:val="24"/>
        </w:rPr>
        <w:t xml:space="preserve"> July 14, 2025</w:t>
      </w:r>
      <w:r w:rsidRPr="005C0E68">
        <w:rPr>
          <w:rFonts w:ascii="Times New Roman" w:hAnsi="Times New Roman" w:cs="Times New Roman"/>
          <w:sz w:val="24"/>
          <w:szCs w:val="24"/>
        </w:rPr>
        <w:t>).</w:t>
      </w:r>
    </w:p>
  </w:footnote>
  <w:footnote w:id="3">
    <w:p w14:paraId="53ED9705" w14:textId="674334F5" w:rsidR="00313999" w:rsidRPr="005C0E68" w:rsidRDefault="00313999" w:rsidP="005C0E68">
      <w:pPr>
        <w:spacing w:after="120" w:line="240" w:lineRule="auto"/>
        <w:ind w:right="247"/>
        <w:jc w:val="both"/>
        <w:rPr>
          <w:rFonts w:ascii="Times New Roman" w:hAnsi="Times New Roman" w:cs="Times New Roman"/>
          <w:sz w:val="24"/>
          <w:szCs w:val="24"/>
        </w:rPr>
      </w:pPr>
      <w:r w:rsidRPr="005C0E68">
        <w:rPr>
          <w:rStyle w:val="FootnoteReference"/>
          <w:rFonts w:ascii="Times New Roman" w:hAnsi="Times New Roman" w:cs="Times New Roman"/>
          <w:sz w:val="24"/>
          <w:szCs w:val="24"/>
        </w:rPr>
        <w:footnoteRef/>
      </w:r>
      <w:r w:rsidRPr="005C0E68">
        <w:rPr>
          <w:rFonts w:ascii="Times New Roman" w:hAnsi="Times New Roman" w:cs="Times New Roman"/>
          <w:sz w:val="24"/>
          <w:szCs w:val="24"/>
        </w:rPr>
        <w:t xml:space="preserve"> The White House Blog, “PCAST Releases Report on Forensic Science in Criminal Courts,” located at </w:t>
      </w:r>
      <w:r w:rsidR="0084421C" w:rsidRPr="0084421C">
        <w:rPr>
          <w:rFonts w:ascii="Times New Roman" w:hAnsi="Times New Roman" w:cs="Times New Roman"/>
          <w:color w:val="0000FF"/>
          <w:sz w:val="24"/>
          <w:szCs w:val="24"/>
        </w:rPr>
        <w:t xml:space="preserve">https://obamawhitehouse.archives.gov/blog/2016/09/20/pcast-releases-report-forensic-science-criminal-courts </w:t>
      </w:r>
      <w:r w:rsidRPr="005C0E68">
        <w:rPr>
          <w:rFonts w:ascii="Times New Roman" w:hAnsi="Times New Roman" w:cs="Times New Roman"/>
          <w:sz w:val="24"/>
          <w:szCs w:val="24"/>
        </w:rPr>
        <w:t>(last</w:t>
      </w:r>
      <w:r w:rsidRPr="005C0E68">
        <w:rPr>
          <w:rFonts w:ascii="Times New Roman" w:hAnsi="Times New Roman" w:cs="Times New Roman"/>
          <w:spacing w:val="-12"/>
          <w:sz w:val="24"/>
          <w:szCs w:val="24"/>
        </w:rPr>
        <w:t xml:space="preserve"> </w:t>
      </w:r>
      <w:r w:rsidRPr="005C0E68">
        <w:rPr>
          <w:rFonts w:ascii="Times New Roman" w:hAnsi="Times New Roman" w:cs="Times New Roman"/>
          <w:sz w:val="24"/>
          <w:szCs w:val="24"/>
        </w:rPr>
        <w:t>accessed</w:t>
      </w:r>
      <w:r w:rsidR="0084421C">
        <w:rPr>
          <w:rFonts w:ascii="Times New Roman" w:hAnsi="Times New Roman" w:cs="Times New Roman"/>
          <w:sz w:val="24"/>
          <w:szCs w:val="24"/>
        </w:rPr>
        <w:t xml:space="preserve"> July 14</w:t>
      </w:r>
      <w:r w:rsidRPr="005C0E68">
        <w:rPr>
          <w:rFonts w:ascii="Times New Roman" w:hAnsi="Times New Roman" w:cs="Times New Roman"/>
          <w:sz w:val="24"/>
          <w:szCs w:val="24"/>
        </w:rPr>
        <w:t>, 202</w:t>
      </w:r>
      <w:r w:rsidR="0084421C">
        <w:rPr>
          <w:rFonts w:ascii="Times New Roman" w:hAnsi="Times New Roman" w:cs="Times New Roman"/>
          <w:sz w:val="24"/>
          <w:szCs w:val="24"/>
        </w:rPr>
        <w:t>5</w:t>
      </w:r>
      <w:r w:rsidRPr="005C0E68">
        <w:rPr>
          <w:rFonts w:ascii="Times New Roman" w:hAnsi="Times New Roman" w:cs="Times New Roman"/>
          <w:sz w:val="24"/>
          <w:szCs w:val="24"/>
        </w:rPr>
        <w:t>).</w:t>
      </w:r>
    </w:p>
  </w:footnote>
  <w:footnote w:id="4">
    <w:p w14:paraId="7E505062" w14:textId="1F303962" w:rsidR="00313999" w:rsidRPr="005C0E68" w:rsidRDefault="00313999" w:rsidP="005C0E68">
      <w:pPr>
        <w:pStyle w:val="FootnoteText"/>
        <w:spacing w:after="120"/>
        <w:jc w:val="both"/>
        <w:rPr>
          <w:rFonts w:ascii="Times New Roman" w:hAnsi="Times New Roman" w:cs="Times New Roman"/>
          <w:sz w:val="24"/>
          <w:szCs w:val="24"/>
        </w:rPr>
      </w:pPr>
      <w:r w:rsidRPr="005C0E68">
        <w:rPr>
          <w:rStyle w:val="FootnoteReference"/>
          <w:rFonts w:ascii="Times New Roman" w:hAnsi="Times New Roman" w:cs="Times New Roman"/>
          <w:sz w:val="24"/>
          <w:szCs w:val="24"/>
        </w:rPr>
        <w:footnoteRef/>
      </w:r>
      <w:r w:rsidRPr="005C0E68">
        <w:rPr>
          <w:rFonts w:ascii="Times New Roman" w:hAnsi="Times New Roman" w:cs="Times New Roman"/>
          <w:sz w:val="24"/>
          <w:szCs w:val="24"/>
        </w:rPr>
        <w:t xml:space="preserve"> PCAST</w:t>
      </w:r>
      <w:r w:rsidRPr="005C0E68">
        <w:rPr>
          <w:rFonts w:ascii="Times New Roman" w:hAnsi="Times New Roman" w:cs="Times New Roman"/>
          <w:spacing w:val="-5"/>
          <w:sz w:val="24"/>
          <w:szCs w:val="24"/>
        </w:rPr>
        <w:t xml:space="preserve"> </w:t>
      </w:r>
      <w:r w:rsidRPr="005C0E68">
        <w:rPr>
          <w:rFonts w:ascii="Times New Roman" w:hAnsi="Times New Roman" w:cs="Times New Roman"/>
          <w:sz w:val="24"/>
          <w:szCs w:val="24"/>
        </w:rPr>
        <w:t>Report,</w:t>
      </w:r>
      <w:r w:rsidRPr="005C0E68">
        <w:rPr>
          <w:rFonts w:ascii="Times New Roman" w:hAnsi="Times New Roman" w:cs="Times New Roman"/>
          <w:spacing w:val="-7"/>
          <w:sz w:val="24"/>
          <w:szCs w:val="24"/>
        </w:rPr>
        <w:t xml:space="preserve"> </w:t>
      </w:r>
      <w:r w:rsidRPr="005C0E68">
        <w:rPr>
          <w:rFonts w:ascii="Times New Roman" w:hAnsi="Times New Roman" w:cs="Times New Roman"/>
          <w:sz w:val="24"/>
          <w:szCs w:val="24"/>
        </w:rPr>
        <w:t>located</w:t>
      </w:r>
      <w:r w:rsidRPr="005C0E68">
        <w:rPr>
          <w:rFonts w:ascii="Times New Roman" w:hAnsi="Times New Roman" w:cs="Times New Roman"/>
          <w:spacing w:val="-7"/>
          <w:sz w:val="24"/>
          <w:szCs w:val="24"/>
        </w:rPr>
        <w:t xml:space="preserve"> </w:t>
      </w:r>
      <w:r w:rsidRPr="005C0E68">
        <w:rPr>
          <w:rFonts w:ascii="Times New Roman" w:hAnsi="Times New Roman" w:cs="Times New Roman"/>
          <w:sz w:val="24"/>
          <w:szCs w:val="24"/>
        </w:rPr>
        <w:t>at</w:t>
      </w:r>
      <w:r w:rsidRPr="005C0E68">
        <w:rPr>
          <w:rFonts w:ascii="Times New Roman" w:hAnsi="Times New Roman" w:cs="Times New Roman"/>
          <w:spacing w:val="-8"/>
          <w:sz w:val="24"/>
          <w:szCs w:val="24"/>
        </w:rPr>
        <w:t xml:space="preserve"> </w:t>
      </w:r>
      <w:r w:rsidRPr="005C0E68">
        <w:rPr>
          <w:rFonts w:ascii="Times New Roman" w:hAnsi="Times New Roman" w:cs="Times New Roman"/>
          <w:color w:val="0000FF"/>
          <w:sz w:val="24"/>
          <w:szCs w:val="24"/>
        </w:rPr>
        <w:t xml:space="preserve">https://obamawhitehouse.archives.gov/blog/2016/09/20/pcast-releases-report-forensic-science-criminal-courts </w:t>
      </w:r>
      <w:r w:rsidRPr="005C0E68">
        <w:rPr>
          <w:rFonts w:ascii="Times New Roman" w:hAnsi="Times New Roman" w:cs="Times New Roman"/>
          <w:sz w:val="24"/>
          <w:szCs w:val="24"/>
        </w:rPr>
        <w:t>(last accessed</w:t>
      </w:r>
      <w:r w:rsidR="0084421C">
        <w:rPr>
          <w:rFonts w:ascii="Times New Roman" w:hAnsi="Times New Roman" w:cs="Times New Roman"/>
          <w:sz w:val="24"/>
          <w:szCs w:val="24"/>
        </w:rPr>
        <w:t xml:space="preserve"> July 14</w:t>
      </w:r>
      <w:r w:rsidRPr="005C0E68">
        <w:rPr>
          <w:rFonts w:ascii="Times New Roman" w:hAnsi="Times New Roman" w:cs="Times New Roman"/>
          <w:sz w:val="24"/>
          <w:szCs w:val="24"/>
        </w:rPr>
        <w:t>, 202</w:t>
      </w:r>
      <w:r w:rsidR="0084421C">
        <w:rPr>
          <w:rFonts w:ascii="Times New Roman" w:hAnsi="Times New Roman" w:cs="Times New Roman"/>
          <w:sz w:val="24"/>
          <w:szCs w:val="24"/>
        </w:rPr>
        <w:t>5</w:t>
      </w:r>
      <w:r w:rsidRPr="005C0E68">
        <w:rPr>
          <w:rFonts w:ascii="Times New Roman" w:hAnsi="Times New Roman" w:cs="Times New Roman"/>
          <w:sz w:val="24"/>
          <w:szCs w:val="24"/>
        </w:rPr>
        <w:t>)</w:t>
      </w:r>
    </w:p>
  </w:footnote>
  <w:footnote w:id="5">
    <w:p w14:paraId="0E1044BC" w14:textId="77777777" w:rsidR="00C76306" w:rsidRPr="005C0E68" w:rsidRDefault="00C76306" w:rsidP="00C76306">
      <w:pPr>
        <w:pStyle w:val="FootnoteText"/>
        <w:spacing w:after="120"/>
        <w:jc w:val="both"/>
        <w:rPr>
          <w:rFonts w:ascii="Times New Roman" w:hAnsi="Times New Roman" w:cs="Times New Roman"/>
          <w:sz w:val="24"/>
          <w:szCs w:val="24"/>
        </w:rPr>
      </w:pPr>
      <w:r w:rsidRPr="005C0E68">
        <w:rPr>
          <w:rStyle w:val="FootnoteReference"/>
          <w:rFonts w:ascii="Times New Roman" w:hAnsi="Times New Roman" w:cs="Times New Roman"/>
          <w:sz w:val="24"/>
          <w:szCs w:val="24"/>
        </w:rPr>
        <w:footnoteRef/>
      </w:r>
      <w:r w:rsidRPr="005C0E68">
        <w:rPr>
          <w:rFonts w:ascii="Times New Roman" w:hAnsi="Times New Roman" w:cs="Times New Roman"/>
          <w:sz w:val="24"/>
          <w:szCs w:val="24"/>
        </w:rPr>
        <w:t xml:space="preserve"> For</w:t>
      </w:r>
      <w:r w:rsidRPr="005C0E68">
        <w:rPr>
          <w:rFonts w:ascii="Times New Roman" w:hAnsi="Times New Roman" w:cs="Times New Roman"/>
          <w:spacing w:val="-2"/>
          <w:sz w:val="24"/>
          <w:szCs w:val="24"/>
        </w:rPr>
        <w:t xml:space="preserve"> </w:t>
      </w:r>
      <w:r w:rsidRPr="005C0E68">
        <w:rPr>
          <w:rFonts w:ascii="Times New Roman" w:hAnsi="Times New Roman" w:cs="Times New Roman"/>
          <w:sz w:val="24"/>
          <w:szCs w:val="24"/>
        </w:rPr>
        <w:t>a</w:t>
      </w:r>
      <w:r w:rsidRPr="005C0E68">
        <w:rPr>
          <w:rFonts w:ascii="Times New Roman" w:hAnsi="Times New Roman" w:cs="Times New Roman"/>
          <w:spacing w:val="-3"/>
          <w:sz w:val="24"/>
          <w:szCs w:val="24"/>
        </w:rPr>
        <w:t xml:space="preserve"> </w:t>
      </w:r>
      <w:r w:rsidRPr="005C0E68">
        <w:rPr>
          <w:rFonts w:ascii="Times New Roman" w:hAnsi="Times New Roman" w:cs="Times New Roman"/>
          <w:sz w:val="24"/>
          <w:szCs w:val="24"/>
        </w:rPr>
        <w:t>survey</w:t>
      </w:r>
      <w:r w:rsidRPr="005C0E68">
        <w:rPr>
          <w:rFonts w:ascii="Times New Roman" w:hAnsi="Times New Roman" w:cs="Times New Roman"/>
          <w:spacing w:val="-2"/>
          <w:sz w:val="24"/>
          <w:szCs w:val="24"/>
        </w:rPr>
        <w:t xml:space="preserve"> </w:t>
      </w:r>
      <w:r w:rsidRPr="005C0E68">
        <w:rPr>
          <w:rFonts w:ascii="Times New Roman" w:hAnsi="Times New Roman" w:cs="Times New Roman"/>
          <w:sz w:val="24"/>
          <w:szCs w:val="24"/>
        </w:rPr>
        <w:t>of</w:t>
      </w:r>
      <w:r w:rsidRPr="005C0E68">
        <w:rPr>
          <w:rFonts w:ascii="Times New Roman" w:hAnsi="Times New Roman" w:cs="Times New Roman"/>
          <w:spacing w:val="-2"/>
          <w:sz w:val="24"/>
          <w:szCs w:val="24"/>
        </w:rPr>
        <w:t xml:space="preserve"> </w:t>
      </w:r>
      <w:r w:rsidRPr="005C0E68">
        <w:rPr>
          <w:rFonts w:ascii="Times New Roman" w:hAnsi="Times New Roman" w:cs="Times New Roman"/>
          <w:sz w:val="24"/>
          <w:szCs w:val="24"/>
        </w:rPr>
        <w:t>jurisprudential</w:t>
      </w:r>
      <w:r w:rsidRPr="005C0E68">
        <w:rPr>
          <w:rFonts w:ascii="Times New Roman" w:hAnsi="Times New Roman" w:cs="Times New Roman"/>
          <w:spacing w:val="-3"/>
          <w:sz w:val="24"/>
          <w:szCs w:val="24"/>
        </w:rPr>
        <w:t xml:space="preserve"> </w:t>
      </w:r>
      <w:r w:rsidRPr="005C0E68">
        <w:rPr>
          <w:rFonts w:ascii="Times New Roman" w:hAnsi="Times New Roman" w:cs="Times New Roman"/>
          <w:sz w:val="24"/>
          <w:szCs w:val="24"/>
        </w:rPr>
        <w:t>trends</w:t>
      </w:r>
      <w:r w:rsidRPr="005C0E68">
        <w:rPr>
          <w:rFonts w:ascii="Times New Roman" w:hAnsi="Times New Roman" w:cs="Times New Roman"/>
          <w:spacing w:val="-4"/>
          <w:sz w:val="24"/>
          <w:szCs w:val="24"/>
        </w:rPr>
        <w:t xml:space="preserve"> </w:t>
      </w:r>
      <w:r w:rsidRPr="005C0E68">
        <w:rPr>
          <w:rFonts w:ascii="Times New Roman" w:hAnsi="Times New Roman" w:cs="Times New Roman"/>
          <w:sz w:val="24"/>
          <w:szCs w:val="24"/>
        </w:rPr>
        <w:t>in</w:t>
      </w:r>
      <w:r w:rsidRPr="005C0E68">
        <w:rPr>
          <w:rFonts w:ascii="Times New Roman" w:hAnsi="Times New Roman" w:cs="Times New Roman"/>
          <w:spacing w:val="-2"/>
          <w:sz w:val="24"/>
          <w:szCs w:val="24"/>
        </w:rPr>
        <w:t xml:space="preserve"> </w:t>
      </w:r>
      <w:r w:rsidRPr="005C0E68">
        <w:rPr>
          <w:rFonts w:ascii="Times New Roman" w:hAnsi="Times New Roman" w:cs="Times New Roman"/>
          <w:sz w:val="24"/>
          <w:szCs w:val="24"/>
        </w:rPr>
        <w:t>the</w:t>
      </w:r>
      <w:r w:rsidRPr="005C0E68">
        <w:rPr>
          <w:rFonts w:ascii="Times New Roman" w:hAnsi="Times New Roman" w:cs="Times New Roman"/>
          <w:spacing w:val="-5"/>
          <w:sz w:val="24"/>
          <w:szCs w:val="24"/>
        </w:rPr>
        <w:t xml:space="preserve"> </w:t>
      </w:r>
      <w:r w:rsidRPr="005C0E68">
        <w:rPr>
          <w:rFonts w:ascii="Times New Roman" w:hAnsi="Times New Roman" w:cs="Times New Roman"/>
          <w:sz w:val="24"/>
          <w:szCs w:val="24"/>
        </w:rPr>
        <w:t>denial</w:t>
      </w:r>
      <w:r w:rsidRPr="005C0E68">
        <w:rPr>
          <w:rFonts w:ascii="Times New Roman" w:hAnsi="Times New Roman" w:cs="Times New Roman"/>
          <w:spacing w:val="-3"/>
          <w:sz w:val="24"/>
          <w:szCs w:val="24"/>
        </w:rPr>
        <w:t xml:space="preserve"> </w:t>
      </w:r>
      <w:r w:rsidRPr="005C0E68">
        <w:rPr>
          <w:rFonts w:ascii="Times New Roman" w:hAnsi="Times New Roman" w:cs="Times New Roman"/>
          <w:sz w:val="24"/>
          <w:szCs w:val="24"/>
        </w:rPr>
        <w:t>of</w:t>
      </w:r>
      <w:r w:rsidRPr="005C0E68">
        <w:rPr>
          <w:rFonts w:ascii="Times New Roman" w:hAnsi="Times New Roman" w:cs="Times New Roman"/>
          <w:spacing w:val="-2"/>
          <w:sz w:val="24"/>
          <w:szCs w:val="24"/>
        </w:rPr>
        <w:t xml:space="preserve"> </w:t>
      </w:r>
      <w:r w:rsidRPr="005C0E68">
        <w:rPr>
          <w:rFonts w:ascii="Times New Roman" w:hAnsi="Times New Roman" w:cs="Times New Roman"/>
          <w:sz w:val="24"/>
          <w:szCs w:val="24"/>
        </w:rPr>
        <w:t>criminal</w:t>
      </w:r>
      <w:r w:rsidRPr="005C0E68">
        <w:rPr>
          <w:rFonts w:ascii="Times New Roman" w:hAnsi="Times New Roman" w:cs="Times New Roman"/>
          <w:spacing w:val="-3"/>
          <w:sz w:val="24"/>
          <w:szCs w:val="24"/>
        </w:rPr>
        <w:t xml:space="preserve"> </w:t>
      </w:r>
      <w:r w:rsidRPr="005C0E68">
        <w:rPr>
          <w:rFonts w:ascii="Times New Roman" w:hAnsi="Times New Roman" w:cs="Times New Roman"/>
          <w:sz w:val="24"/>
          <w:szCs w:val="24"/>
        </w:rPr>
        <w:t>defendants’</w:t>
      </w:r>
      <w:r w:rsidRPr="005C0E68">
        <w:rPr>
          <w:rFonts w:ascii="Times New Roman" w:hAnsi="Times New Roman" w:cs="Times New Roman"/>
          <w:spacing w:val="-2"/>
          <w:sz w:val="24"/>
          <w:szCs w:val="24"/>
        </w:rPr>
        <w:t xml:space="preserve"> </w:t>
      </w:r>
      <w:r w:rsidRPr="005C0E68">
        <w:rPr>
          <w:rFonts w:ascii="Times New Roman" w:hAnsi="Times New Roman" w:cs="Times New Roman"/>
          <w:sz w:val="24"/>
          <w:szCs w:val="24"/>
        </w:rPr>
        <w:t>post-</w:t>
      </w:r>
      <w:r w:rsidRPr="005C0E68">
        <w:rPr>
          <w:rFonts w:ascii="Times New Roman" w:hAnsi="Times New Roman" w:cs="Times New Roman"/>
          <w:i/>
          <w:sz w:val="24"/>
          <w:szCs w:val="24"/>
        </w:rPr>
        <w:t>Daubert</w:t>
      </w:r>
      <w:r w:rsidRPr="005C0E68">
        <w:rPr>
          <w:rFonts w:ascii="Times New Roman" w:hAnsi="Times New Roman" w:cs="Times New Roman"/>
          <w:i/>
          <w:spacing w:val="-3"/>
          <w:sz w:val="24"/>
          <w:szCs w:val="24"/>
        </w:rPr>
        <w:t xml:space="preserve"> </w:t>
      </w:r>
      <w:r w:rsidRPr="005C0E68">
        <w:rPr>
          <w:rFonts w:ascii="Times New Roman" w:hAnsi="Times New Roman" w:cs="Times New Roman"/>
          <w:sz w:val="24"/>
          <w:szCs w:val="24"/>
        </w:rPr>
        <w:t>challenges</w:t>
      </w:r>
      <w:r w:rsidRPr="005C0E68">
        <w:rPr>
          <w:rFonts w:ascii="Times New Roman" w:hAnsi="Times New Roman" w:cs="Times New Roman"/>
          <w:spacing w:val="-4"/>
          <w:sz w:val="24"/>
          <w:szCs w:val="24"/>
        </w:rPr>
        <w:t xml:space="preserve"> </w:t>
      </w:r>
      <w:r w:rsidRPr="005C0E68">
        <w:rPr>
          <w:rFonts w:ascii="Times New Roman" w:hAnsi="Times New Roman" w:cs="Times New Roman"/>
          <w:sz w:val="24"/>
          <w:szCs w:val="24"/>
        </w:rPr>
        <w:t>to</w:t>
      </w:r>
      <w:r w:rsidRPr="005C0E68">
        <w:rPr>
          <w:rFonts w:ascii="Times New Roman" w:hAnsi="Times New Roman" w:cs="Times New Roman"/>
          <w:spacing w:val="-2"/>
          <w:sz w:val="24"/>
          <w:szCs w:val="24"/>
        </w:rPr>
        <w:t xml:space="preserve"> </w:t>
      </w:r>
      <w:r w:rsidRPr="005C0E68">
        <w:rPr>
          <w:rFonts w:ascii="Times New Roman" w:hAnsi="Times New Roman" w:cs="Times New Roman"/>
          <w:sz w:val="24"/>
          <w:szCs w:val="24"/>
        </w:rPr>
        <w:t>prosecution</w:t>
      </w:r>
      <w:r w:rsidRPr="005C0E68">
        <w:rPr>
          <w:rFonts w:ascii="Times New Roman" w:hAnsi="Times New Roman" w:cs="Times New Roman"/>
          <w:spacing w:val="-2"/>
          <w:sz w:val="24"/>
          <w:szCs w:val="24"/>
        </w:rPr>
        <w:t xml:space="preserve"> </w:t>
      </w:r>
      <w:r w:rsidRPr="005C0E68">
        <w:rPr>
          <w:rFonts w:ascii="Times New Roman" w:hAnsi="Times New Roman" w:cs="Times New Roman"/>
          <w:sz w:val="24"/>
          <w:szCs w:val="24"/>
        </w:rPr>
        <w:t xml:space="preserve">evidence, </w:t>
      </w:r>
      <w:r w:rsidRPr="005C0E68">
        <w:rPr>
          <w:rFonts w:ascii="Times New Roman" w:hAnsi="Times New Roman" w:cs="Times New Roman"/>
          <w:i/>
          <w:sz w:val="24"/>
          <w:szCs w:val="24"/>
        </w:rPr>
        <w:t xml:space="preserve">see </w:t>
      </w:r>
      <w:r w:rsidRPr="005C0E68">
        <w:rPr>
          <w:rFonts w:ascii="Times New Roman" w:hAnsi="Times New Roman" w:cs="Times New Roman"/>
          <w:sz w:val="24"/>
          <w:szCs w:val="24"/>
        </w:rPr>
        <w:t xml:space="preserve">Risinger, </w:t>
      </w:r>
      <w:r w:rsidRPr="005C0E68">
        <w:rPr>
          <w:rFonts w:ascii="Times New Roman" w:hAnsi="Times New Roman" w:cs="Times New Roman"/>
          <w:i/>
          <w:iCs/>
          <w:sz w:val="24"/>
          <w:szCs w:val="24"/>
        </w:rPr>
        <w:t>Navigating Expert Reliability: Are Criminal Standards of Certainty Being Left on the Dock?</w:t>
      </w:r>
      <w:r w:rsidRPr="005C0E68">
        <w:rPr>
          <w:rFonts w:ascii="Times New Roman" w:hAnsi="Times New Roman" w:cs="Times New Roman"/>
          <w:sz w:val="24"/>
          <w:szCs w:val="24"/>
        </w:rPr>
        <w:t xml:space="preserve"> 64 </w:t>
      </w:r>
      <w:r w:rsidRPr="00C436EA">
        <w:rPr>
          <w:rFonts w:ascii="Times New Roman" w:hAnsi="Times New Roman" w:cs="Times New Roman"/>
          <w:sz w:val="24"/>
          <w:szCs w:val="24"/>
        </w:rPr>
        <w:t>Albany L Rev</w:t>
      </w:r>
      <w:r w:rsidRPr="005C0E68">
        <w:rPr>
          <w:rFonts w:ascii="Times New Roman" w:hAnsi="Times New Roman" w:cs="Times New Roman"/>
          <w:i/>
          <w:sz w:val="24"/>
          <w:szCs w:val="24"/>
        </w:rPr>
        <w:t xml:space="preserve"> </w:t>
      </w:r>
      <w:r w:rsidRPr="005C0E68">
        <w:rPr>
          <w:rFonts w:ascii="Times New Roman" w:hAnsi="Times New Roman" w:cs="Times New Roman"/>
          <w:sz w:val="24"/>
          <w:szCs w:val="24"/>
        </w:rPr>
        <w:t>99, 125-28 (2000).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823C4"/>
    <w:multiLevelType w:val="hybridMultilevel"/>
    <w:tmpl w:val="D67E61E6"/>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00177DD"/>
    <w:multiLevelType w:val="hybridMultilevel"/>
    <w:tmpl w:val="EFCCF870"/>
    <w:lvl w:ilvl="0" w:tplc="DCECF4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6D03C0"/>
    <w:multiLevelType w:val="hybridMultilevel"/>
    <w:tmpl w:val="E1784C8A"/>
    <w:lvl w:ilvl="0" w:tplc="E39C766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2B14DD"/>
    <w:multiLevelType w:val="hybridMultilevel"/>
    <w:tmpl w:val="969C5BB6"/>
    <w:lvl w:ilvl="0" w:tplc="FB42CEB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1352B6"/>
    <w:multiLevelType w:val="hybridMultilevel"/>
    <w:tmpl w:val="F89E6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CF5054"/>
    <w:multiLevelType w:val="hybridMultilevel"/>
    <w:tmpl w:val="795AE56E"/>
    <w:lvl w:ilvl="0" w:tplc="B476B1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B06CF6"/>
    <w:multiLevelType w:val="hybridMultilevel"/>
    <w:tmpl w:val="E4A094B6"/>
    <w:lvl w:ilvl="0" w:tplc="8A6831EA">
      <w:start w:val="1"/>
      <w:numFmt w:val="upperRoman"/>
      <w:lvlText w:val="%1."/>
      <w:lvlJc w:val="left"/>
      <w:pPr>
        <w:ind w:left="1320" w:hanging="720"/>
      </w:pPr>
      <w:rPr>
        <w:rFonts w:ascii="Times New Roman" w:eastAsia="Times New Roman" w:hAnsi="Times New Roman" w:cs="Times New Roman" w:hint="default"/>
        <w:b/>
        <w:bCs/>
        <w:i w:val="0"/>
        <w:iCs w:val="0"/>
        <w:spacing w:val="0"/>
        <w:w w:val="100"/>
        <w:sz w:val="24"/>
        <w:szCs w:val="24"/>
        <w:lang w:val="en-US" w:eastAsia="en-US" w:bidi="ar-SA"/>
      </w:rPr>
    </w:lvl>
    <w:lvl w:ilvl="1" w:tplc="6332D0F8">
      <w:start w:val="1"/>
      <w:numFmt w:val="upperLetter"/>
      <w:lvlText w:val="%2."/>
      <w:lvlJc w:val="left"/>
      <w:pPr>
        <w:ind w:left="1680" w:hanging="360"/>
      </w:pPr>
      <w:rPr>
        <w:rFonts w:ascii="Times New Roman" w:eastAsia="Times New Roman" w:hAnsi="Times New Roman" w:cs="Times New Roman" w:hint="default"/>
        <w:b/>
        <w:bCs/>
        <w:i w:val="0"/>
        <w:iCs w:val="0"/>
        <w:spacing w:val="-1"/>
        <w:w w:val="100"/>
        <w:sz w:val="24"/>
        <w:szCs w:val="24"/>
        <w:lang w:val="en-US" w:eastAsia="en-US" w:bidi="ar-SA"/>
      </w:rPr>
    </w:lvl>
    <w:lvl w:ilvl="2" w:tplc="512A46D0">
      <w:start w:val="1"/>
      <w:numFmt w:val="decimal"/>
      <w:lvlText w:val="(%3)"/>
      <w:lvlJc w:val="left"/>
      <w:pPr>
        <w:ind w:left="2018"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3" w:tplc="21B0A05C">
      <w:numFmt w:val="bullet"/>
      <w:lvlText w:val="•"/>
      <w:lvlJc w:val="left"/>
      <w:pPr>
        <w:ind w:left="3072" w:hanging="339"/>
      </w:pPr>
      <w:rPr>
        <w:rFonts w:hint="default"/>
        <w:lang w:val="en-US" w:eastAsia="en-US" w:bidi="ar-SA"/>
      </w:rPr>
    </w:lvl>
    <w:lvl w:ilvl="4" w:tplc="86307D96">
      <w:numFmt w:val="bullet"/>
      <w:lvlText w:val="•"/>
      <w:lvlJc w:val="left"/>
      <w:pPr>
        <w:ind w:left="4125" w:hanging="339"/>
      </w:pPr>
      <w:rPr>
        <w:rFonts w:hint="default"/>
        <w:lang w:val="en-US" w:eastAsia="en-US" w:bidi="ar-SA"/>
      </w:rPr>
    </w:lvl>
    <w:lvl w:ilvl="5" w:tplc="63D6794E">
      <w:numFmt w:val="bullet"/>
      <w:lvlText w:val="•"/>
      <w:lvlJc w:val="left"/>
      <w:pPr>
        <w:ind w:left="5177" w:hanging="339"/>
      </w:pPr>
      <w:rPr>
        <w:rFonts w:hint="default"/>
        <w:lang w:val="en-US" w:eastAsia="en-US" w:bidi="ar-SA"/>
      </w:rPr>
    </w:lvl>
    <w:lvl w:ilvl="6" w:tplc="21925088">
      <w:numFmt w:val="bullet"/>
      <w:lvlText w:val="•"/>
      <w:lvlJc w:val="left"/>
      <w:pPr>
        <w:ind w:left="6230" w:hanging="339"/>
      </w:pPr>
      <w:rPr>
        <w:rFonts w:hint="default"/>
        <w:lang w:val="en-US" w:eastAsia="en-US" w:bidi="ar-SA"/>
      </w:rPr>
    </w:lvl>
    <w:lvl w:ilvl="7" w:tplc="CD6E733E">
      <w:numFmt w:val="bullet"/>
      <w:lvlText w:val="•"/>
      <w:lvlJc w:val="left"/>
      <w:pPr>
        <w:ind w:left="7282" w:hanging="339"/>
      </w:pPr>
      <w:rPr>
        <w:rFonts w:hint="default"/>
        <w:lang w:val="en-US" w:eastAsia="en-US" w:bidi="ar-SA"/>
      </w:rPr>
    </w:lvl>
    <w:lvl w:ilvl="8" w:tplc="A81EFDEE">
      <w:numFmt w:val="bullet"/>
      <w:lvlText w:val="•"/>
      <w:lvlJc w:val="left"/>
      <w:pPr>
        <w:ind w:left="8335" w:hanging="339"/>
      </w:pPr>
      <w:rPr>
        <w:rFonts w:hint="default"/>
        <w:lang w:val="en-US" w:eastAsia="en-US" w:bidi="ar-SA"/>
      </w:rPr>
    </w:lvl>
  </w:abstractNum>
  <w:abstractNum w:abstractNumId="7" w15:restartNumberingAfterBreak="0">
    <w:nsid w:val="6DAD4A9C"/>
    <w:multiLevelType w:val="hybridMultilevel"/>
    <w:tmpl w:val="0EAC4DB0"/>
    <w:lvl w:ilvl="0" w:tplc="112ADEF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6D1B82"/>
    <w:multiLevelType w:val="hybridMultilevel"/>
    <w:tmpl w:val="28303E6E"/>
    <w:lvl w:ilvl="0" w:tplc="C4BCF4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60152287">
    <w:abstractNumId w:val="3"/>
  </w:num>
  <w:num w:numId="2" w16cid:durableId="435292386">
    <w:abstractNumId w:val="7"/>
  </w:num>
  <w:num w:numId="3" w16cid:durableId="701519130">
    <w:abstractNumId w:val="4"/>
  </w:num>
  <w:num w:numId="4" w16cid:durableId="1472794249">
    <w:abstractNumId w:val="5"/>
  </w:num>
  <w:num w:numId="5" w16cid:durableId="127939453">
    <w:abstractNumId w:val="1"/>
  </w:num>
  <w:num w:numId="6" w16cid:durableId="180706609">
    <w:abstractNumId w:val="2"/>
  </w:num>
  <w:num w:numId="7" w16cid:durableId="1627615835">
    <w:abstractNumId w:val="0"/>
  </w:num>
  <w:num w:numId="8" w16cid:durableId="2011443932">
    <w:abstractNumId w:val="6"/>
  </w:num>
  <w:num w:numId="9" w16cid:durableId="14152021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350"/>
    <w:rsid w:val="000272BE"/>
    <w:rsid w:val="000439CC"/>
    <w:rsid w:val="00046535"/>
    <w:rsid w:val="00053C72"/>
    <w:rsid w:val="000976A6"/>
    <w:rsid w:val="00124E86"/>
    <w:rsid w:val="0013666F"/>
    <w:rsid w:val="001377AC"/>
    <w:rsid w:val="001649AA"/>
    <w:rsid w:val="00175229"/>
    <w:rsid w:val="00190702"/>
    <w:rsid w:val="001A2445"/>
    <w:rsid w:val="001A365C"/>
    <w:rsid w:val="001C1B07"/>
    <w:rsid w:val="001E2C5A"/>
    <w:rsid w:val="001E7173"/>
    <w:rsid w:val="0020262F"/>
    <w:rsid w:val="002062F7"/>
    <w:rsid w:val="00212B57"/>
    <w:rsid w:val="002174B5"/>
    <w:rsid w:val="002256F1"/>
    <w:rsid w:val="002257EE"/>
    <w:rsid w:val="00235350"/>
    <w:rsid w:val="00251883"/>
    <w:rsid w:val="0025499A"/>
    <w:rsid w:val="002C0449"/>
    <w:rsid w:val="002C2F8D"/>
    <w:rsid w:val="0030188D"/>
    <w:rsid w:val="00313999"/>
    <w:rsid w:val="00322A6C"/>
    <w:rsid w:val="00325407"/>
    <w:rsid w:val="00362F39"/>
    <w:rsid w:val="003865C8"/>
    <w:rsid w:val="003C22C2"/>
    <w:rsid w:val="004111A7"/>
    <w:rsid w:val="004372C8"/>
    <w:rsid w:val="004435BF"/>
    <w:rsid w:val="00452ED3"/>
    <w:rsid w:val="00462B6E"/>
    <w:rsid w:val="004647E0"/>
    <w:rsid w:val="00484F3D"/>
    <w:rsid w:val="004F37D7"/>
    <w:rsid w:val="00504676"/>
    <w:rsid w:val="00511DC0"/>
    <w:rsid w:val="00516ACC"/>
    <w:rsid w:val="00540B6D"/>
    <w:rsid w:val="005425FA"/>
    <w:rsid w:val="00566B72"/>
    <w:rsid w:val="005739A8"/>
    <w:rsid w:val="005B6056"/>
    <w:rsid w:val="005C0E68"/>
    <w:rsid w:val="005D50E1"/>
    <w:rsid w:val="00604B77"/>
    <w:rsid w:val="0064619D"/>
    <w:rsid w:val="00654492"/>
    <w:rsid w:val="00670B03"/>
    <w:rsid w:val="0067403A"/>
    <w:rsid w:val="006A043F"/>
    <w:rsid w:val="006C22A6"/>
    <w:rsid w:val="006D55E1"/>
    <w:rsid w:val="006D7E02"/>
    <w:rsid w:val="006E23F1"/>
    <w:rsid w:val="00716A73"/>
    <w:rsid w:val="007374A8"/>
    <w:rsid w:val="007476AB"/>
    <w:rsid w:val="007F0345"/>
    <w:rsid w:val="0084421C"/>
    <w:rsid w:val="0088595A"/>
    <w:rsid w:val="008D5783"/>
    <w:rsid w:val="008F0CDF"/>
    <w:rsid w:val="00906FA7"/>
    <w:rsid w:val="009406AE"/>
    <w:rsid w:val="00946094"/>
    <w:rsid w:val="00961A62"/>
    <w:rsid w:val="009E722C"/>
    <w:rsid w:val="00A04B2E"/>
    <w:rsid w:val="00A2274C"/>
    <w:rsid w:val="00A5478C"/>
    <w:rsid w:val="00A61327"/>
    <w:rsid w:val="00A756E7"/>
    <w:rsid w:val="00A76371"/>
    <w:rsid w:val="00A909E5"/>
    <w:rsid w:val="00A96D10"/>
    <w:rsid w:val="00A977F5"/>
    <w:rsid w:val="00AA5BBE"/>
    <w:rsid w:val="00AC552B"/>
    <w:rsid w:val="00AF6A6C"/>
    <w:rsid w:val="00B227FE"/>
    <w:rsid w:val="00B345A9"/>
    <w:rsid w:val="00B35D6B"/>
    <w:rsid w:val="00BA29B4"/>
    <w:rsid w:val="00BA68D7"/>
    <w:rsid w:val="00BF35AD"/>
    <w:rsid w:val="00BF78D4"/>
    <w:rsid w:val="00C00EEC"/>
    <w:rsid w:val="00C21C6B"/>
    <w:rsid w:val="00C21E87"/>
    <w:rsid w:val="00C418E1"/>
    <w:rsid w:val="00C436EA"/>
    <w:rsid w:val="00C73956"/>
    <w:rsid w:val="00C76306"/>
    <w:rsid w:val="00C951F7"/>
    <w:rsid w:val="00CA6F45"/>
    <w:rsid w:val="00CE02CA"/>
    <w:rsid w:val="00D10655"/>
    <w:rsid w:val="00D41A5E"/>
    <w:rsid w:val="00D5180C"/>
    <w:rsid w:val="00D603F0"/>
    <w:rsid w:val="00DB0194"/>
    <w:rsid w:val="00DE5B2F"/>
    <w:rsid w:val="00E71F62"/>
    <w:rsid w:val="00E76E97"/>
    <w:rsid w:val="00E851FC"/>
    <w:rsid w:val="00EA453F"/>
    <w:rsid w:val="00F70A1F"/>
    <w:rsid w:val="00F87A34"/>
    <w:rsid w:val="00FC02C2"/>
    <w:rsid w:val="00FD5EE2"/>
    <w:rsid w:val="00FE552A"/>
    <w:rsid w:val="00FF2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64868"/>
  <w15:chartTrackingRefBased/>
  <w15:docId w15:val="{B638DDF2-959D-492F-A1D2-A3364DCE4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35350"/>
    <w:pPr>
      <w:ind w:left="720"/>
      <w:contextualSpacing/>
    </w:pPr>
  </w:style>
  <w:style w:type="character" w:styleId="Hyperlink">
    <w:name w:val="Hyperlink"/>
    <w:basedOn w:val="DefaultParagraphFont"/>
    <w:uiPriority w:val="99"/>
    <w:unhideWhenUsed/>
    <w:rsid w:val="003865C8"/>
    <w:rPr>
      <w:color w:val="0563C1" w:themeColor="hyperlink"/>
      <w:u w:val="single"/>
    </w:rPr>
  </w:style>
  <w:style w:type="character" w:styleId="UnresolvedMention">
    <w:name w:val="Unresolved Mention"/>
    <w:basedOn w:val="DefaultParagraphFont"/>
    <w:uiPriority w:val="99"/>
    <w:semiHidden/>
    <w:unhideWhenUsed/>
    <w:rsid w:val="003865C8"/>
    <w:rPr>
      <w:color w:val="605E5C"/>
      <w:shd w:val="clear" w:color="auto" w:fill="E1DFDD"/>
    </w:rPr>
  </w:style>
  <w:style w:type="paragraph" w:styleId="BodyText">
    <w:name w:val="Body Text"/>
    <w:basedOn w:val="Normal"/>
    <w:link w:val="BodyTextChar"/>
    <w:uiPriority w:val="1"/>
    <w:qFormat/>
    <w:rsid w:val="00D1065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10655"/>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D1065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10655"/>
    <w:rPr>
      <w:sz w:val="20"/>
      <w:szCs w:val="20"/>
    </w:rPr>
  </w:style>
  <w:style w:type="character" w:styleId="EndnoteReference">
    <w:name w:val="endnote reference"/>
    <w:basedOn w:val="DefaultParagraphFont"/>
    <w:uiPriority w:val="99"/>
    <w:semiHidden/>
    <w:unhideWhenUsed/>
    <w:rsid w:val="00D10655"/>
    <w:rPr>
      <w:vertAlign w:val="superscript"/>
    </w:rPr>
  </w:style>
  <w:style w:type="paragraph" w:styleId="FootnoteText">
    <w:name w:val="footnote text"/>
    <w:basedOn w:val="Normal"/>
    <w:link w:val="FootnoteTextChar"/>
    <w:uiPriority w:val="99"/>
    <w:semiHidden/>
    <w:unhideWhenUsed/>
    <w:rsid w:val="00D106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0655"/>
    <w:rPr>
      <w:sz w:val="20"/>
      <w:szCs w:val="20"/>
    </w:rPr>
  </w:style>
  <w:style w:type="character" w:styleId="FootnoteReference">
    <w:name w:val="footnote reference"/>
    <w:basedOn w:val="DefaultParagraphFont"/>
    <w:uiPriority w:val="99"/>
    <w:semiHidden/>
    <w:unhideWhenUsed/>
    <w:rsid w:val="00D10655"/>
    <w:rPr>
      <w:vertAlign w:val="superscript"/>
    </w:rPr>
  </w:style>
  <w:style w:type="paragraph" w:styleId="Revision">
    <w:name w:val="Revision"/>
    <w:hidden/>
    <w:uiPriority w:val="99"/>
    <w:semiHidden/>
    <w:rsid w:val="004111A7"/>
    <w:pPr>
      <w:spacing w:after="0" w:line="240" w:lineRule="auto"/>
    </w:pPr>
  </w:style>
  <w:style w:type="character" w:styleId="CommentReference">
    <w:name w:val="annotation reference"/>
    <w:basedOn w:val="DefaultParagraphFont"/>
    <w:uiPriority w:val="99"/>
    <w:semiHidden/>
    <w:unhideWhenUsed/>
    <w:rsid w:val="004111A7"/>
    <w:rPr>
      <w:sz w:val="16"/>
      <w:szCs w:val="16"/>
    </w:rPr>
  </w:style>
  <w:style w:type="paragraph" w:styleId="CommentText">
    <w:name w:val="annotation text"/>
    <w:basedOn w:val="Normal"/>
    <w:link w:val="CommentTextChar"/>
    <w:uiPriority w:val="99"/>
    <w:unhideWhenUsed/>
    <w:rsid w:val="004111A7"/>
    <w:pPr>
      <w:spacing w:line="240" w:lineRule="auto"/>
    </w:pPr>
    <w:rPr>
      <w:sz w:val="20"/>
      <w:szCs w:val="20"/>
    </w:rPr>
  </w:style>
  <w:style w:type="character" w:customStyle="1" w:styleId="CommentTextChar">
    <w:name w:val="Comment Text Char"/>
    <w:basedOn w:val="DefaultParagraphFont"/>
    <w:link w:val="CommentText"/>
    <w:uiPriority w:val="99"/>
    <w:rsid w:val="004111A7"/>
    <w:rPr>
      <w:sz w:val="20"/>
      <w:szCs w:val="20"/>
    </w:rPr>
  </w:style>
  <w:style w:type="paragraph" w:styleId="CommentSubject">
    <w:name w:val="annotation subject"/>
    <w:basedOn w:val="CommentText"/>
    <w:next w:val="CommentText"/>
    <w:link w:val="CommentSubjectChar"/>
    <w:uiPriority w:val="99"/>
    <w:semiHidden/>
    <w:unhideWhenUsed/>
    <w:rsid w:val="004111A7"/>
    <w:rPr>
      <w:b/>
      <w:bCs/>
    </w:rPr>
  </w:style>
  <w:style w:type="character" w:customStyle="1" w:styleId="CommentSubjectChar">
    <w:name w:val="Comment Subject Char"/>
    <w:basedOn w:val="CommentTextChar"/>
    <w:link w:val="CommentSubject"/>
    <w:uiPriority w:val="99"/>
    <w:semiHidden/>
    <w:rsid w:val="004111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obamawhitehouse.archives.gov/sites/default/files/microsites/ostp/PCAST/pcast_forensic_science_report_final.pdf" TargetMode="External"/><Relationship Id="rId1" Type="http://schemas.openxmlformats.org/officeDocument/2006/relationships/hyperlink" Target="https://www.ojp.gov/pdffiles1/nij/grants/22809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66298-BB30-42E0-BCB9-D87A89429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3025</Words>
  <Characters>17243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Oh</dc:creator>
  <cp:keywords/>
  <dc:description/>
  <cp:lastModifiedBy>Nelson, Sofia</cp:lastModifiedBy>
  <cp:revision>3</cp:revision>
  <cp:lastPrinted>2025-07-14T14:28:00Z</cp:lastPrinted>
  <dcterms:created xsi:type="dcterms:W3CDTF">2025-12-16T17:23:00Z</dcterms:created>
  <dcterms:modified xsi:type="dcterms:W3CDTF">2026-01-02T21:47:00Z</dcterms:modified>
</cp:coreProperties>
</file>