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053E" w14:textId="238B201C" w:rsidR="005F51F7" w:rsidRDefault="00F57AD4" w:rsidP="00A069D0">
      <w:pPr>
        <w:jc w:val="center"/>
        <w:rPr>
          <w:b/>
          <w:bCs/>
        </w:rPr>
      </w:pPr>
      <w:r w:rsidRPr="00435146">
        <w:rPr>
          <w:b/>
          <w:bCs/>
        </w:rPr>
        <w:t xml:space="preserve">MOTION TO COMPEL DISCOVERY </w:t>
      </w:r>
      <w:r w:rsidR="00217B4E">
        <w:rPr>
          <w:b/>
          <w:bCs/>
        </w:rPr>
        <w:t xml:space="preserve">PURSUANT TO </w:t>
      </w:r>
      <w:r w:rsidR="00217B4E" w:rsidRPr="00C323F3">
        <w:rPr>
          <w:b/>
          <w:bCs/>
        </w:rPr>
        <w:t>M</w:t>
      </w:r>
      <w:r w:rsidR="00682B63">
        <w:rPr>
          <w:b/>
          <w:bCs/>
        </w:rPr>
        <w:t>ARYLAND</w:t>
      </w:r>
      <w:r w:rsidR="00217B4E" w:rsidRPr="00C323F3">
        <w:rPr>
          <w:b/>
          <w:bCs/>
        </w:rPr>
        <w:t xml:space="preserve"> RULE 4-262</w:t>
      </w:r>
      <w:r w:rsidR="00217B4E">
        <w:rPr>
          <w:b/>
          <w:bCs/>
        </w:rPr>
        <w:t xml:space="preserve"> </w:t>
      </w:r>
      <w:r w:rsidR="00A069D0">
        <w:rPr>
          <w:b/>
          <w:bCs/>
        </w:rPr>
        <w:t>CONCERNING</w:t>
      </w:r>
      <w:r w:rsidR="00217B4E">
        <w:rPr>
          <w:b/>
          <w:bCs/>
        </w:rPr>
        <w:t xml:space="preserve"> OPERATION AND</w:t>
      </w:r>
      <w:r w:rsidR="00A069D0">
        <w:rPr>
          <w:b/>
          <w:bCs/>
        </w:rPr>
        <w:t xml:space="preserve"> RELIABILITY OF</w:t>
      </w:r>
      <w:r w:rsidR="00A069D0" w:rsidRPr="00435146">
        <w:rPr>
          <w:b/>
          <w:bCs/>
        </w:rPr>
        <w:t xml:space="preserve"> </w:t>
      </w:r>
      <w:r w:rsidRPr="00435146">
        <w:rPr>
          <w:b/>
          <w:bCs/>
        </w:rPr>
        <w:t xml:space="preserve">FLOCK </w:t>
      </w:r>
      <w:r w:rsidR="00217B4E">
        <w:rPr>
          <w:b/>
          <w:bCs/>
        </w:rPr>
        <w:t>DATA</w:t>
      </w:r>
    </w:p>
    <w:p w14:paraId="3911A6D1" w14:textId="77777777" w:rsidR="00CA5785" w:rsidRDefault="00CA5785" w:rsidP="00A069D0">
      <w:pPr>
        <w:jc w:val="center"/>
        <w:rPr>
          <w:b/>
          <w:bCs/>
        </w:rPr>
      </w:pPr>
    </w:p>
    <w:p w14:paraId="357A8E7C" w14:textId="4FF196AF" w:rsidR="00CA5785" w:rsidRPr="00435146" w:rsidRDefault="00CA5785" w:rsidP="00A069D0">
      <w:pPr>
        <w:jc w:val="center"/>
        <w:rPr>
          <w:b/>
          <w:bCs/>
        </w:rPr>
      </w:pPr>
      <w:r w:rsidRPr="00C323F3">
        <w:rPr>
          <w:b/>
          <w:bCs/>
        </w:rPr>
        <w:t>HEARING REQUESTED</w:t>
      </w:r>
    </w:p>
    <w:p w14:paraId="339A94BC" w14:textId="77777777" w:rsidR="00F57AD4" w:rsidRDefault="00F57AD4" w:rsidP="00F57AD4"/>
    <w:p w14:paraId="3C8E9241" w14:textId="6F86B4CE" w:rsidR="0031178B" w:rsidRDefault="00F57AD4" w:rsidP="00094429">
      <w:pPr>
        <w:spacing w:line="480" w:lineRule="auto"/>
        <w:ind w:firstLine="720"/>
        <w:jc w:val="both"/>
      </w:pPr>
      <w:r>
        <w:t>NOW COMES [</w:t>
      </w:r>
      <w:r w:rsidRPr="00F57AD4">
        <w:rPr>
          <w:highlight w:val="yellow"/>
        </w:rPr>
        <w:t>CLIENT</w:t>
      </w:r>
      <w:r>
        <w:t xml:space="preserve">], by and through </w:t>
      </w:r>
      <w:r w:rsidRPr="00F57AD4">
        <w:rPr>
          <w:highlight w:val="yellow"/>
        </w:rPr>
        <w:t>his/her/their</w:t>
      </w:r>
      <w:r>
        <w:t xml:space="preserve"> Attorney(s) [</w:t>
      </w:r>
      <w:r w:rsidRPr="00F57AD4">
        <w:rPr>
          <w:highlight w:val="yellow"/>
        </w:rPr>
        <w:t>INSERT NAMES</w:t>
      </w:r>
      <w:r>
        <w:t xml:space="preserve">], </w:t>
      </w:r>
      <w:r w:rsidR="00091CF4">
        <w:t xml:space="preserve">and </w:t>
      </w:r>
      <w:r>
        <w:t>moves this court</w:t>
      </w:r>
      <w:r w:rsidR="0091182B">
        <w:t xml:space="preserve">, pursuant to </w:t>
      </w:r>
      <w:r w:rsidR="00CA5785">
        <w:t xml:space="preserve">Maryland Court Rule 4-262, </w:t>
      </w:r>
      <w:r w:rsidR="0091182B" w:rsidRPr="0091182B">
        <w:rPr>
          <w:i/>
          <w:iCs/>
        </w:rPr>
        <w:t>Brady v. Maryland</w:t>
      </w:r>
      <w:r w:rsidR="0091182B" w:rsidRPr="0091182B">
        <w:t>, 373 U.S. 83</w:t>
      </w:r>
      <w:r w:rsidR="0091182B">
        <w:t xml:space="preserve"> </w:t>
      </w:r>
      <w:r w:rsidR="0091182B" w:rsidRPr="0091182B">
        <w:t>(1973)</w:t>
      </w:r>
      <w:r w:rsidR="00D4009F">
        <w:t xml:space="preserve">, </w:t>
      </w:r>
      <w:r w:rsidR="00D4009F" w:rsidRPr="0091182B">
        <w:rPr>
          <w:i/>
          <w:iCs/>
        </w:rPr>
        <w:t>Kyles v. Whitley</w:t>
      </w:r>
      <w:r w:rsidR="00D4009F">
        <w:t xml:space="preserve">, 514 U.S. 419 (1995), and </w:t>
      </w:r>
      <w:r w:rsidR="00D4009F" w:rsidRPr="00D4009F">
        <w:rPr>
          <w:i/>
          <w:iCs/>
        </w:rPr>
        <w:t>Crane v. Kentucky</w:t>
      </w:r>
      <w:r w:rsidR="00D4009F">
        <w:t>, 476 U.S. 683 (1986)</w:t>
      </w:r>
      <w:r w:rsidR="00682B63">
        <w:t>,</w:t>
      </w:r>
      <w:r w:rsidR="00D4009F">
        <w:t xml:space="preserve"> </w:t>
      </w:r>
      <w:r>
        <w:t xml:space="preserve">to compel discovery </w:t>
      </w:r>
      <w:r w:rsidR="00A069D0">
        <w:t>regarding the Flock artificial intelligence evidence</w:t>
      </w:r>
      <w:r>
        <w:t xml:space="preserve"> </w:t>
      </w:r>
      <w:r w:rsidR="00A069D0">
        <w:t xml:space="preserve">relied on </w:t>
      </w:r>
      <w:r>
        <w:t>in the affidavit supporting the warrant(s) issued for [</w:t>
      </w:r>
      <w:r w:rsidRPr="00F57AD4">
        <w:rPr>
          <w:highlight w:val="yellow"/>
        </w:rPr>
        <w:t>CLIENT’S arrest/search of LOCATION/CLIENT/OTHER</w:t>
      </w:r>
      <w:r>
        <w:t>].</w:t>
      </w:r>
      <w:r w:rsidR="007C380D">
        <w:t xml:space="preserve"> </w:t>
      </w:r>
    </w:p>
    <w:p w14:paraId="6908FFCE" w14:textId="2B5B88B9" w:rsidR="004E30D6" w:rsidRPr="00CA5785" w:rsidRDefault="00D67B96" w:rsidP="00CA5785">
      <w:pPr>
        <w:spacing w:line="480" w:lineRule="auto"/>
      </w:pPr>
      <w:r w:rsidRPr="00CA5785">
        <w:t>[</w:t>
      </w:r>
      <w:r w:rsidRPr="00CA5785">
        <w:rPr>
          <w:highlight w:val="yellow"/>
        </w:rPr>
        <w:t>C</w:t>
      </w:r>
      <w:r w:rsidR="00682B63">
        <w:rPr>
          <w:highlight w:val="yellow"/>
        </w:rPr>
        <w:t>LIENT</w:t>
      </w:r>
      <w:r w:rsidRPr="00CA5785">
        <w:t xml:space="preserve">] </w:t>
      </w:r>
      <w:r w:rsidR="00F57AD4" w:rsidRPr="00CA5785">
        <w:t xml:space="preserve">moves </w:t>
      </w:r>
      <w:r w:rsidR="004E30D6" w:rsidRPr="00CA5785">
        <w:t xml:space="preserve">this court </w:t>
      </w:r>
      <w:r w:rsidR="00F57AD4" w:rsidRPr="00CA5785">
        <w:t xml:space="preserve">to compel </w:t>
      </w:r>
      <w:r w:rsidR="0091182B" w:rsidRPr="00CA5785">
        <w:t>disclosure of</w:t>
      </w:r>
      <w:r w:rsidR="004E30D6" w:rsidRPr="00CA5785">
        <w:t>:</w:t>
      </w:r>
    </w:p>
    <w:p w14:paraId="30344368" w14:textId="028E8057" w:rsidR="004E30D6" w:rsidRDefault="00F57AD4" w:rsidP="00094429">
      <w:pPr>
        <w:pStyle w:val="ListParagraph"/>
        <w:numPr>
          <w:ilvl w:val="0"/>
          <w:numId w:val="2"/>
        </w:numPr>
        <w:spacing w:line="480" w:lineRule="auto"/>
        <w:ind w:left="720"/>
        <w:jc w:val="both"/>
      </w:pPr>
      <w:r>
        <w:t xml:space="preserve"> </w:t>
      </w:r>
      <w:r w:rsidR="004E30D6">
        <w:t>A</w:t>
      </w:r>
      <w:r>
        <w:t>ny Memorandums of Understanding between Flock and [</w:t>
      </w:r>
      <w:r w:rsidRPr="004E30D6">
        <w:rPr>
          <w:highlight w:val="yellow"/>
        </w:rPr>
        <w:t>insert relevant law enforcement body</w:t>
      </w:r>
      <w:r>
        <w:t xml:space="preserve">] or any similar </w:t>
      </w:r>
      <w:r w:rsidR="00885970">
        <w:t xml:space="preserve">formalized </w:t>
      </w:r>
      <w:r>
        <w:t xml:space="preserve">agreements between these </w:t>
      </w:r>
      <w:proofErr w:type="gramStart"/>
      <w:r>
        <w:t>parties;</w:t>
      </w:r>
      <w:proofErr w:type="gramEnd"/>
      <w:r w:rsidR="00D271DF">
        <w:t xml:space="preserve"> </w:t>
      </w:r>
    </w:p>
    <w:p w14:paraId="4A275576" w14:textId="1AF449C5" w:rsidR="004E30D6" w:rsidRDefault="004E30D6" w:rsidP="00094429">
      <w:pPr>
        <w:pStyle w:val="ListParagraph"/>
        <w:numPr>
          <w:ilvl w:val="0"/>
          <w:numId w:val="2"/>
        </w:numPr>
        <w:spacing w:line="480" w:lineRule="auto"/>
        <w:ind w:left="720"/>
        <w:jc w:val="both"/>
      </w:pPr>
      <w:proofErr w:type="gramStart"/>
      <w:r>
        <w:t>A</w:t>
      </w:r>
      <w:r w:rsidR="00F57AD4">
        <w:t>ny and all</w:t>
      </w:r>
      <w:proofErr w:type="gramEnd"/>
      <w:r w:rsidR="00F57AD4">
        <w:t xml:space="preserve"> data transmitted to law enforcement via Flock cameras or databases</w:t>
      </w:r>
      <w:r>
        <w:t xml:space="preserve"> for [</w:t>
      </w:r>
      <w:r w:rsidRPr="004E30D6">
        <w:rPr>
          <w:highlight w:val="yellow"/>
        </w:rPr>
        <w:t>INSERT RELEVANT TIME PERIOD AND/OR GEOGRAPHIC WINDOW</w:t>
      </w:r>
      <w:proofErr w:type="gramStart"/>
      <w:r>
        <w:t>]</w:t>
      </w:r>
      <w:r w:rsidR="00F57AD4">
        <w:t>;</w:t>
      </w:r>
      <w:proofErr w:type="gramEnd"/>
      <w:r w:rsidR="00F57AD4">
        <w:t xml:space="preserve"> </w:t>
      </w:r>
    </w:p>
    <w:p w14:paraId="4A534C12" w14:textId="697E9EEB" w:rsidR="00031654" w:rsidRDefault="00031654" w:rsidP="00094429">
      <w:pPr>
        <w:pStyle w:val="ListParagraph"/>
        <w:numPr>
          <w:ilvl w:val="0"/>
          <w:numId w:val="2"/>
        </w:numPr>
        <w:spacing w:line="480" w:lineRule="auto"/>
        <w:ind w:left="720"/>
        <w:jc w:val="both"/>
      </w:pPr>
      <w:r>
        <w:t>Location and model information for any Flock cameras or compatible Flock products installed within a [</w:t>
      </w:r>
      <w:r w:rsidRPr="00031654">
        <w:rPr>
          <w:highlight w:val="yellow"/>
        </w:rPr>
        <w:t>DISTANCE RADIUS OF RELEVANT LOCATION</w:t>
      </w:r>
      <w:r>
        <w:t>]</w:t>
      </w:r>
      <w:r w:rsidR="00B35FA5">
        <w:t xml:space="preserve">, including a list of the </w:t>
      </w:r>
      <w:r w:rsidR="00B35FA5" w:rsidRPr="00B35FA5">
        <w:t>cameras</w:t>
      </w:r>
      <w:r w:rsidR="00B35FA5">
        <w:t xml:space="preserve"> used, associated </w:t>
      </w:r>
      <w:r w:rsidR="00B35FA5" w:rsidRPr="00B35FA5">
        <w:t>serial number</w:t>
      </w:r>
      <w:r w:rsidR="00B35FA5">
        <w:t>s</w:t>
      </w:r>
      <w:r w:rsidR="00B35FA5" w:rsidRPr="00B35FA5">
        <w:t>, GPS coordinates</w:t>
      </w:r>
      <w:r w:rsidR="00B35FA5">
        <w:t xml:space="preserve"> for those cameras’ locations</w:t>
      </w:r>
      <w:r w:rsidR="00B35FA5" w:rsidRPr="00B35FA5">
        <w:t xml:space="preserve">, </w:t>
      </w:r>
      <w:r w:rsidR="00B35FA5">
        <w:t xml:space="preserve">camera </w:t>
      </w:r>
      <w:r w:rsidR="00B35FA5" w:rsidRPr="00B35FA5">
        <w:t xml:space="preserve">exposure settings, and firmware/software the camera(s) </w:t>
      </w:r>
      <w:r w:rsidR="00B35FA5">
        <w:t>use</w:t>
      </w:r>
      <w:r w:rsidR="00B35FA5" w:rsidRPr="00B35FA5">
        <w:t xml:space="preserve"> to </w:t>
      </w:r>
      <w:proofErr w:type="gramStart"/>
      <w:r w:rsidR="00B35FA5" w:rsidRPr="00B35FA5">
        <w:t>operate</w:t>
      </w:r>
      <w:r>
        <w:t>;</w:t>
      </w:r>
      <w:proofErr w:type="gramEnd"/>
    </w:p>
    <w:p w14:paraId="2D5C77D4" w14:textId="7B808107" w:rsidR="00B35FA5" w:rsidRDefault="00B35FA5" w:rsidP="00B35FA5">
      <w:pPr>
        <w:pStyle w:val="ListParagraph"/>
        <w:numPr>
          <w:ilvl w:val="0"/>
          <w:numId w:val="2"/>
        </w:numPr>
        <w:spacing w:line="480" w:lineRule="auto"/>
        <w:ind w:left="720"/>
        <w:jc w:val="both"/>
      </w:pPr>
      <w:r>
        <w:t>R</w:t>
      </w:r>
      <w:r w:rsidRPr="00B35FA5">
        <w:t xml:space="preserve">ecords related to camera installation, configuration, maintenance, software uploaded, and accuracy </w:t>
      </w:r>
      <w:proofErr w:type="gramStart"/>
      <w:r w:rsidRPr="00B35FA5">
        <w:t>testing;</w:t>
      </w:r>
      <w:proofErr w:type="gramEnd"/>
      <w:r w:rsidRPr="00B35FA5">
        <w:t xml:space="preserve"> </w:t>
      </w:r>
    </w:p>
    <w:p w14:paraId="638F6D92" w14:textId="18CA0E41" w:rsidR="00B35FA5" w:rsidRPr="00B35FA5" w:rsidRDefault="00B35FA5" w:rsidP="00B35FA5">
      <w:pPr>
        <w:pStyle w:val="ListParagraph"/>
        <w:numPr>
          <w:ilvl w:val="0"/>
          <w:numId w:val="2"/>
        </w:numPr>
        <w:spacing w:line="480" w:lineRule="auto"/>
        <w:ind w:left="720"/>
        <w:jc w:val="both"/>
      </w:pPr>
      <w:r>
        <w:t>A</w:t>
      </w:r>
      <w:r w:rsidRPr="00B35FA5">
        <w:t>ll internal reports, validations studies, and error-rate analyses concerning the accuracy and reliability of Flock</w:t>
      </w:r>
      <w:r>
        <w:t>’s</w:t>
      </w:r>
      <w:r w:rsidRPr="00B35FA5">
        <w:t xml:space="preserve"> ALPR and Vehicle Fingerprint</w:t>
      </w:r>
      <w:proofErr w:type="gramStart"/>
      <w:r w:rsidRPr="00B35FA5">
        <w:t>®</w:t>
      </w:r>
      <w:r>
        <w:t>;</w:t>
      </w:r>
      <w:proofErr w:type="gramEnd"/>
    </w:p>
    <w:p w14:paraId="3DDE1CD6" w14:textId="71256669" w:rsidR="004E30D6" w:rsidRDefault="004E30D6" w:rsidP="00B35FA5">
      <w:pPr>
        <w:pStyle w:val="ListParagraph"/>
        <w:numPr>
          <w:ilvl w:val="0"/>
          <w:numId w:val="2"/>
        </w:numPr>
        <w:spacing w:line="480" w:lineRule="auto"/>
        <w:ind w:left="720"/>
        <w:jc w:val="both"/>
      </w:pPr>
      <w:r>
        <w:t xml:space="preserve">Any and all data or recordkeeping from Flock or </w:t>
      </w:r>
      <w:r w:rsidR="00B35FA5">
        <w:t>law enforcement</w:t>
      </w:r>
      <w:r>
        <w:t xml:space="preserve"> that demonstrates the error rate for Flock ALPRs</w:t>
      </w:r>
      <w:r w:rsidRPr="004E30D6">
        <w:t xml:space="preserve">, including </w:t>
      </w:r>
      <w:r w:rsidR="00031654">
        <w:t xml:space="preserve">false positive and false negative rates, as well as overall error rates, </w:t>
      </w:r>
      <w:r w:rsidR="00B35FA5" w:rsidRPr="00B35FA5">
        <w:t xml:space="preserve">ALPR event logs including optical character recognition (OCR) text, </w:t>
      </w:r>
      <w:r w:rsidR="00B35FA5" w:rsidRPr="00B35FA5">
        <w:lastRenderedPageBreak/>
        <w:t>confidence scores,</w:t>
      </w:r>
      <w:r w:rsidR="00B35FA5">
        <w:t xml:space="preserve"> and</w:t>
      </w:r>
      <w:r w:rsidR="00B35FA5" w:rsidRPr="00B35FA5">
        <w:t xml:space="preserve"> probability threshold</w:t>
      </w:r>
      <w:r w:rsidR="00B35FA5">
        <w:t xml:space="preserve">, </w:t>
      </w:r>
      <w:r w:rsidRPr="004E30D6">
        <w:t>as well as documentation as to how the error rates were calculated, including whether they reflect test or operational conditions;</w:t>
      </w:r>
    </w:p>
    <w:p w14:paraId="520CAF2C" w14:textId="6183D9EF" w:rsidR="00B35FA5" w:rsidRDefault="00B35FA5" w:rsidP="00B35FA5">
      <w:pPr>
        <w:pStyle w:val="ListParagraph"/>
        <w:numPr>
          <w:ilvl w:val="0"/>
          <w:numId w:val="2"/>
        </w:numPr>
        <w:spacing w:line="480" w:lineRule="auto"/>
        <w:ind w:left="720"/>
        <w:jc w:val="both"/>
      </w:pPr>
      <w:r>
        <w:t>A</w:t>
      </w:r>
      <w:r w:rsidRPr="00B35FA5">
        <w:t>ll documents describing the data fields generated by Vehicle Fingerprint®, including field names, possible values (e.g. color categories</w:t>
      </w:r>
      <w:r w:rsidR="00C57BF3">
        <w:t xml:space="preserve"> and other unique characteristics</w:t>
      </w:r>
      <w:r w:rsidRPr="00B35FA5">
        <w:t xml:space="preserve">), and how confidence scores are </w:t>
      </w:r>
      <w:proofErr w:type="gramStart"/>
      <w:r w:rsidRPr="00B35FA5">
        <w:t>calculated;</w:t>
      </w:r>
      <w:proofErr w:type="gramEnd"/>
      <w:r w:rsidRPr="00B35FA5">
        <w:t xml:space="preserve"> </w:t>
      </w:r>
    </w:p>
    <w:p w14:paraId="65328BDE" w14:textId="7198DDAC" w:rsidR="00B35FA5" w:rsidRPr="00B35FA5" w:rsidRDefault="00B35FA5" w:rsidP="00B35FA5">
      <w:pPr>
        <w:pStyle w:val="ListParagraph"/>
        <w:numPr>
          <w:ilvl w:val="0"/>
          <w:numId w:val="2"/>
        </w:numPr>
        <w:spacing w:line="480" w:lineRule="auto"/>
        <w:ind w:left="720"/>
        <w:jc w:val="both"/>
      </w:pPr>
      <w:r>
        <w:t>C</w:t>
      </w:r>
      <w:r w:rsidRPr="00B35FA5">
        <w:t>onfiguration files or screenshots showing what Vehicle Fingerprint® attributes were enabled, what confidence thresholds were set, and any custom filters created by [</w:t>
      </w:r>
      <w:r w:rsidRPr="00B35FA5">
        <w:rPr>
          <w:highlight w:val="yellow"/>
        </w:rPr>
        <w:t>INSERT AGENCY</w:t>
      </w:r>
      <w:r w:rsidRPr="00B35FA5">
        <w:t>];</w:t>
      </w:r>
      <w:r w:rsidRPr="00B35FA5">
        <w:rPr>
          <w:i/>
          <w:iCs/>
        </w:rPr>
        <w:t xml:space="preserve"> </w:t>
      </w:r>
      <w:r w:rsidRPr="00B35FA5">
        <w:t xml:space="preserve">audit trails and access logs showing which users queried, downloaded, or deleted ALPR/Fingerprint® data and the </w:t>
      </w:r>
      <w:r w:rsidR="00682B63" w:rsidRPr="00B35FA5">
        <w:t>dat</w:t>
      </w:r>
      <w:r w:rsidR="00682B63">
        <w:t>e</w:t>
      </w:r>
      <w:r w:rsidR="00682B63" w:rsidRPr="00B35FA5">
        <w:t xml:space="preserve"> </w:t>
      </w:r>
      <w:r w:rsidRPr="00B35FA5">
        <w:t xml:space="preserve">and time of that </w:t>
      </w:r>
      <w:proofErr w:type="gramStart"/>
      <w:r w:rsidRPr="00B35FA5">
        <w:t>action;</w:t>
      </w:r>
      <w:proofErr w:type="gramEnd"/>
      <w:r w:rsidRPr="00B35FA5">
        <w:t xml:space="preserve"> </w:t>
      </w:r>
    </w:p>
    <w:p w14:paraId="5F2CBBFB" w14:textId="119D83B8" w:rsidR="00B35FA5" w:rsidRPr="00B35FA5" w:rsidRDefault="00B35FA5" w:rsidP="00B35FA5">
      <w:pPr>
        <w:pStyle w:val="ListParagraph"/>
        <w:numPr>
          <w:ilvl w:val="0"/>
          <w:numId w:val="2"/>
        </w:numPr>
        <w:spacing w:line="480" w:lineRule="auto"/>
        <w:ind w:left="720"/>
        <w:jc w:val="both"/>
      </w:pPr>
      <w:r>
        <w:t>Audit</w:t>
      </w:r>
      <w:r w:rsidRPr="00B35FA5">
        <w:t xml:space="preserve"> logs for all </w:t>
      </w:r>
      <w:proofErr w:type="spellStart"/>
      <w:r w:rsidRPr="00B35FA5">
        <w:t>FreeForm</w:t>
      </w:r>
      <w:proofErr w:type="spellEnd"/>
      <w:r w:rsidRPr="00B35FA5">
        <w:t>™ searches conducted by any employee of [</w:t>
      </w:r>
      <w:r w:rsidRPr="00B35FA5">
        <w:rPr>
          <w:highlight w:val="yellow"/>
        </w:rPr>
        <w:t>AGENCY</w:t>
      </w:r>
      <w:proofErr w:type="gramStart"/>
      <w:r w:rsidRPr="00B35FA5">
        <w:t>];</w:t>
      </w:r>
      <w:proofErr w:type="gramEnd"/>
      <w:r w:rsidRPr="00B35FA5">
        <w:t xml:space="preserve"> </w:t>
      </w:r>
    </w:p>
    <w:p w14:paraId="52348172" w14:textId="09709760" w:rsidR="00B35FA5" w:rsidRPr="00B35FA5" w:rsidRDefault="00C57BF3" w:rsidP="00B35FA5">
      <w:pPr>
        <w:pStyle w:val="ListParagraph"/>
        <w:numPr>
          <w:ilvl w:val="0"/>
          <w:numId w:val="2"/>
        </w:numPr>
        <w:spacing w:line="480" w:lineRule="auto"/>
        <w:ind w:left="720"/>
        <w:jc w:val="both"/>
      </w:pPr>
      <w:r>
        <w:t>The</w:t>
      </w:r>
      <w:r w:rsidR="00B35FA5" w:rsidRPr="00B35FA5">
        <w:t xml:space="preserve"> underlying Vehicle Fingerprint®/ALPR records and images that </w:t>
      </w:r>
      <w:proofErr w:type="spellStart"/>
      <w:r w:rsidR="00B35FA5" w:rsidRPr="00B35FA5">
        <w:t>FreeForm</w:t>
      </w:r>
      <w:proofErr w:type="spellEnd"/>
      <w:r w:rsidR="00B35FA5" w:rsidRPr="00B35FA5">
        <w:t xml:space="preserve">™ returned for those queries, in the order they were shown to the </w:t>
      </w:r>
      <w:proofErr w:type="gramStart"/>
      <w:r w:rsidR="00B35FA5" w:rsidRPr="00B35FA5">
        <w:t>user;</w:t>
      </w:r>
      <w:proofErr w:type="gramEnd"/>
      <w:r w:rsidR="00B35FA5" w:rsidRPr="00B35FA5">
        <w:t xml:space="preserve"> </w:t>
      </w:r>
    </w:p>
    <w:p w14:paraId="1E740D65" w14:textId="3369A961" w:rsidR="00B35FA5" w:rsidRDefault="00B35FA5" w:rsidP="00B35FA5">
      <w:pPr>
        <w:pStyle w:val="ListParagraph"/>
        <w:numPr>
          <w:ilvl w:val="0"/>
          <w:numId w:val="2"/>
        </w:numPr>
        <w:spacing w:line="480" w:lineRule="auto"/>
        <w:ind w:left="720"/>
        <w:jc w:val="both"/>
      </w:pPr>
      <w:r>
        <w:t>A</w:t>
      </w:r>
      <w:r w:rsidRPr="00B35FA5">
        <w:t xml:space="preserve">ll policy documents and training materials including slide decks, emails, </w:t>
      </w:r>
      <w:r>
        <w:t>and other materials</w:t>
      </w:r>
      <w:r w:rsidRPr="00B35FA5">
        <w:t xml:space="preserve"> used to </w:t>
      </w:r>
      <w:r>
        <w:t>train or instruct</w:t>
      </w:r>
      <w:r w:rsidRPr="00B35FA5">
        <w:t xml:space="preserve"> officers</w:t>
      </w:r>
      <w:r w:rsidR="00682B63">
        <w:t xml:space="preserve"> on</w:t>
      </w:r>
      <w:r w:rsidRPr="00B35FA5">
        <w:t xml:space="preserve"> how to use, interpret, verify</w:t>
      </w:r>
      <w:r>
        <w:t>,</w:t>
      </w:r>
      <w:r w:rsidRPr="00B35FA5">
        <w:t xml:space="preserve"> or act upon Flock data including ALPR</w:t>
      </w:r>
      <w:r>
        <w:t>,</w:t>
      </w:r>
      <w:r w:rsidRPr="00B35FA5">
        <w:t xml:space="preserve"> </w:t>
      </w:r>
      <w:proofErr w:type="spellStart"/>
      <w:r w:rsidRPr="00B35FA5">
        <w:t>FreeForm</w:t>
      </w:r>
      <w:proofErr w:type="spellEnd"/>
      <w:r w:rsidRPr="00B35FA5">
        <w:t>™, and Vehicle Fingerprint</w:t>
      </w:r>
      <w:proofErr w:type="gramStart"/>
      <w:r w:rsidRPr="00B35FA5">
        <w:t>®</w:t>
      </w:r>
      <w:r>
        <w:t>;</w:t>
      </w:r>
      <w:proofErr w:type="gramEnd"/>
    </w:p>
    <w:p w14:paraId="0D051749" w14:textId="107CFFBB" w:rsidR="004E30D6" w:rsidRDefault="004E30D6" w:rsidP="00094429">
      <w:pPr>
        <w:pStyle w:val="ListParagraph"/>
        <w:numPr>
          <w:ilvl w:val="0"/>
          <w:numId w:val="2"/>
        </w:numPr>
        <w:spacing w:line="480" w:lineRule="auto"/>
        <w:ind w:left="720"/>
        <w:jc w:val="both"/>
      </w:pPr>
      <w:r>
        <w:t>Any data or relevant information about Flock’s artificial intelligence model and machine learning development process, including</w:t>
      </w:r>
      <w:r w:rsidRPr="00D271DF">
        <w:t xml:space="preserve"> the algorithm(s) version number(s)</w:t>
      </w:r>
      <w:r>
        <w:t xml:space="preserve">, </w:t>
      </w:r>
      <w:r w:rsidRPr="00D271DF">
        <w:t>year(s) developed</w:t>
      </w:r>
      <w:r>
        <w:t>, and t</w:t>
      </w:r>
      <w:r w:rsidRPr="00D271DF">
        <w:t xml:space="preserve">he source code for the </w:t>
      </w:r>
      <w:r>
        <w:t>Flock</w:t>
      </w:r>
      <w:r w:rsidRPr="00D271DF">
        <w:t xml:space="preserve"> algorithm(s</w:t>
      </w:r>
      <w:proofErr w:type="gramStart"/>
      <w:r w:rsidRPr="00D271DF">
        <w:t>)</w:t>
      </w:r>
      <w:r w:rsidR="00682B63">
        <w:t>;</w:t>
      </w:r>
      <w:proofErr w:type="gramEnd"/>
      <w:r>
        <w:t xml:space="preserve"> </w:t>
      </w:r>
    </w:p>
    <w:p w14:paraId="30B895F4" w14:textId="77777777" w:rsidR="00031654" w:rsidRDefault="004E30D6" w:rsidP="00094429">
      <w:pPr>
        <w:pStyle w:val="ListParagraph"/>
        <w:numPr>
          <w:ilvl w:val="0"/>
          <w:numId w:val="2"/>
        </w:numPr>
        <w:spacing w:line="480" w:lineRule="auto"/>
        <w:ind w:left="720"/>
        <w:jc w:val="both"/>
      </w:pPr>
      <w:r w:rsidRPr="004E30D6">
        <w:t> </w:t>
      </w:r>
      <w:r w:rsidR="00031654" w:rsidRPr="004E30D6">
        <w:t>A list or description of the rank number or confidence scores produced by the system, including the scale on which the system is based (e.g. percentage, logarithmic, other</w:t>
      </w:r>
      <w:proofErr w:type="gramStart"/>
      <w:r w:rsidR="00031654" w:rsidRPr="004E30D6">
        <w:t>);</w:t>
      </w:r>
      <w:proofErr w:type="gramEnd"/>
    </w:p>
    <w:p w14:paraId="4C4613E7" w14:textId="3CF5B27D" w:rsidR="004E30D6" w:rsidRDefault="004E30D6" w:rsidP="00094429">
      <w:pPr>
        <w:pStyle w:val="ListParagraph"/>
        <w:keepNext/>
        <w:numPr>
          <w:ilvl w:val="0"/>
          <w:numId w:val="2"/>
        </w:numPr>
        <w:spacing w:line="480" w:lineRule="auto"/>
        <w:ind w:left="720"/>
        <w:jc w:val="both"/>
      </w:pPr>
      <w:r w:rsidRPr="004E30D6">
        <w:t>A list of the parameters of the database used, including</w:t>
      </w:r>
      <w:r w:rsidR="00B35FA5">
        <w:t xml:space="preserve"> (but not limited to)</w:t>
      </w:r>
      <w:r w:rsidRPr="004E30D6">
        <w:t>:</w:t>
      </w:r>
    </w:p>
    <w:p w14:paraId="38C8F330" w14:textId="55017757" w:rsidR="00031654" w:rsidRDefault="00031654" w:rsidP="00094429">
      <w:pPr>
        <w:pStyle w:val="ListParagraph"/>
        <w:numPr>
          <w:ilvl w:val="1"/>
          <w:numId w:val="2"/>
        </w:numPr>
        <w:ind w:left="1440"/>
        <w:jc w:val="both"/>
      </w:pPr>
      <w:r>
        <w:t xml:space="preserve">How many vehicles are logged </w:t>
      </w:r>
      <w:proofErr w:type="gramStart"/>
      <w:r>
        <w:t>in</w:t>
      </w:r>
      <w:proofErr w:type="gramEnd"/>
      <w:r>
        <w:t xml:space="preserve"> the Flock </w:t>
      </w:r>
      <w:proofErr w:type="gramStart"/>
      <w:r>
        <w:t>database</w:t>
      </w:r>
      <w:r w:rsidR="00891D1C">
        <w:t>;</w:t>
      </w:r>
      <w:proofErr w:type="gramEnd"/>
    </w:p>
    <w:p w14:paraId="6E24EF76" w14:textId="5FE6EAC2" w:rsidR="004E30D6" w:rsidRDefault="004E30D6" w:rsidP="00094429">
      <w:pPr>
        <w:pStyle w:val="ListParagraph"/>
        <w:numPr>
          <w:ilvl w:val="1"/>
          <w:numId w:val="2"/>
        </w:numPr>
        <w:ind w:left="1440"/>
        <w:jc w:val="both"/>
      </w:pPr>
      <w:r w:rsidRPr="004E30D6">
        <w:t xml:space="preserve">How many photos are in the </w:t>
      </w:r>
      <w:proofErr w:type="gramStart"/>
      <w:r w:rsidRPr="004E30D6">
        <w:t>database;</w:t>
      </w:r>
      <w:proofErr w:type="gramEnd"/>
    </w:p>
    <w:p w14:paraId="78A2981C" w14:textId="3C587AC3" w:rsidR="004E30D6" w:rsidRDefault="004E30D6" w:rsidP="00094429">
      <w:pPr>
        <w:pStyle w:val="ListParagraph"/>
        <w:numPr>
          <w:ilvl w:val="1"/>
          <w:numId w:val="2"/>
        </w:numPr>
        <w:ind w:left="1440"/>
        <w:jc w:val="both"/>
      </w:pPr>
      <w:r w:rsidRPr="004E30D6">
        <w:t xml:space="preserve">How the photos </w:t>
      </w:r>
      <w:r w:rsidR="00031654" w:rsidRPr="004E30D6">
        <w:t xml:space="preserve">are </w:t>
      </w:r>
      <w:proofErr w:type="gramStart"/>
      <w:r w:rsidRPr="004E30D6">
        <w:t>obtained;</w:t>
      </w:r>
      <w:proofErr w:type="gramEnd"/>
    </w:p>
    <w:p w14:paraId="4A368D09" w14:textId="7272A5B3" w:rsidR="004E30D6" w:rsidRDefault="004E30D6" w:rsidP="00094429">
      <w:pPr>
        <w:pStyle w:val="ListParagraph"/>
        <w:numPr>
          <w:ilvl w:val="1"/>
          <w:numId w:val="2"/>
        </w:numPr>
        <w:ind w:left="1440"/>
        <w:jc w:val="both"/>
      </w:pPr>
      <w:r w:rsidRPr="004E30D6">
        <w:t xml:space="preserve">How long </w:t>
      </w:r>
      <w:r w:rsidR="00891D1C">
        <w:t>are</w:t>
      </w:r>
      <w:r w:rsidR="00891D1C" w:rsidRPr="004E30D6">
        <w:t xml:space="preserve"> </w:t>
      </w:r>
      <w:r w:rsidRPr="004E30D6">
        <w:t xml:space="preserve">photos </w:t>
      </w:r>
      <w:proofErr w:type="gramStart"/>
      <w:r w:rsidRPr="004E30D6">
        <w:t>stored;</w:t>
      </w:r>
      <w:proofErr w:type="gramEnd"/>
    </w:p>
    <w:p w14:paraId="6E919C51" w14:textId="6CDB043D" w:rsidR="00031654" w:rsidRDefault="00031654" w:rsidP="00094429">
      <w:pPr>
        <w:pStyle w:val="ListParagraph"/>
        <w:numPr>
          <w:ilvl w:val="1"/>
          <w:numId w:val="2"/>
        </w:numPr>
        <w:ind w:left="1440"/>
        <w:jc w:val="both"/>
      </w:pPr>
      <w:r>
        <w:lastRenderedPageBreak/>
        <w:t xml:space="preserve">How long </w:t>
      </w:r>
      <w:proofErr w:type="gramStart"/>
      <w:r>
        <w:t>the</w:t>
      </w:r>
      <w:proofErr w:type="gramEnd"/>
      <w:r>
        <w:t xml:space="preserve"> characteristic data about each logged vehicle is </w:t>
      </w:r>
      <w:proofErr w:type="gramStart"/>
      <w:r>
        <w:t>stored;</w:t>
      </w:r>
      <w:proofErr w:type="gramEnd"/>
    </w:p>
    <w:p w14:paraId="6125DC6E" w14:textId="5B0DC816" w:rsidR="00031654" w:rsidRDefault="00031654" w:rsidP="00094429">
      <w:pPr>
        <w:pStyle w:val="ListParagraph"/>
        <w:numPr>
          <w:ilvl w:val="1"/>
          <w:numId w:val="2"/>
        </w:numPr>
        <w:ind w:left="1440"/>
        <w:jc w:val="both"/>
      </w:pPr>
      <w:r>
        <w:t xml:space="preserve">How vehicles may be added to Flock </w:t>
      </w:r>
      <w:proofErr w:type="gramStart"/>
      <w:r>
        <w:t>databases;</w:t>
      </w:r>
      <w:proofErr w:type="gramEnd"/>
    </w:p>
    <w:p w14:paraId="066985DE" w14:textId="77777777" w:rsidR="004E30D6" w:rsidRDefault="004E30D6" w:rsidP="00094429">
      <w:pPr>
        <w:pStyle w:val="ListParagraph"/>
        <w:numPr>
          <w:ilvl w:val="1"/>
          <w:numId w:val="2"/>
        </w:numPr>
        <w:ind w:left="1440"/>
        <w:jc w:val="both"/>
      </w:pPr>
      <w:r w:rsidRPr="004E30D6">
        <w:t xml:space="preserve">How often </w:t>
      </w:r>
      <w:proofErr w:type="gramStart"/>
      <w:r w:rsidRPr="004E30D6">
        <w:t>the database is</w:t>
      </w:r>
      <w:proofErr w:type="gramEnd"/>
      <w:r w:rsidRPr="004E30D6">
        <w:t xml:space="preserve"> </w:t>
      </w:r>
      <w:proofErr w:type="gramStart"/>
      <w:r w:rsidRPr="004E30D6">
        <w:t>purged;</w:t>
      </w:r>
      <w:proofErr w:type="gramEnd"/>
    </w:p>
    <w:p w14:paraId="38B2E2EA" w14:textId="306C889A" w:rsidR="004E30D6" w:rsidRDefault="004E30D6" w:rsidP="00094429">
      <w:pPr>
        <w:pStyle w:val="ListParagraph"/>
        <w:numPr>
          <w:ilvl w:val="1"/>
          <w:numId w:val="2"/>
        </w:numPr>
        <w:ind w:left="1440"/>
        <w:jc w:val="both"/>
      </w:pPr>
      <w:r w:rsidRPr="004E30D6">
        <w:t xml:space="preserve">What the process is for getting removed from the </w:t>
      </w:r>
      <w:r w:rsidR="00031654">
        <w:t xml:space="preserve">Flock </w:t>
      </w:r>
      <w:proofErr w:type="gramStart"/>
      <w:r w:rsidRPr="004E30D6">
        <w:t>database;</w:t>
      </w:r>
      <w:proofErr w:type="gramEnd"/>
    </w:p>
    <w:p w14:paraId="04734157" w14:textId="14624EA3" w:rsidR="004E30D6" w:rsidRDefault="004E30D6" w:rsidP="00094429">
      <w:pPr>
        <w:pStyle w:val="ListParagraph"/>
        <w:numPr>
          <w:ilvl w:val="1"/>
          <w:numId w:val="2"/>
        </w:numPr>
        <w:ind w:left="1440"/>
        <w:jc w:val="both"/>
      </w:pPr>
      <w:r w:rsidRPr="004E30D6">
        <w:t xml:space="preserve">Who has access to the </w:t>
      </w:r>
      <w:r w:rsidR="00031654">
        <w:t xml:space="preserve">Flock </w:t>
      </w:r>
      <w:proofErr w:type="gramStart"/>
      <w:r w:rsidRPr="004E30D6">
        <w:t>database;</w:t>
      </w:r>
      <w:proofErr w:type="gramEnd"/>
    </w:p>
    <w:p w14:paraId="3A7A999A" w14:textId="1D2E0DC7" w:rsidR="00031654" w:rsidRDefault="00031654" w:rsidP="00094429">
      <w:pPr>
        <w:pStyle w:val="ListParagraph"/>
        <w:numPr>
          <w:ilvl w:val="1"/>
          <w:numId w:val="2"/>
        </w:numPr>
        <w:ind w:left="1440"/>
        <w:jc w:val="both"/>
      </w:pPr>
      <w:r>
        <w:t xml:space="preserve">Any moderation policies for the Flock </w:t>
      </w:r>
      <w:proofErr w:type="gramStart"/>
      <w:r>
        <w:t>database;</w:t>
      </w:r>
      <w:proofErr w:type="gramEnd"/>
    </w:p>
    <w:p w14:paraId="0FA0DA0D" w14:textId="0FF2AC11" w:rsidR="004E30D6" w:rsidRDefault="004E30D6" w:rsidP="00094429">
      <w:pPr>
        <w:pStyle w:val="ListParagraph"/>
        <w:numPr>
          <w:ilvl w:val="1"/>
          <w:numId w:val="2"/>
        </w:numPr>
        <w:ind w:left="1440"/>
        <w:jc w:val="both"/>
      </w:pPr>
      <w:r w:rsidRPr="004E30D6">
        <w:t xml:space="preserve">How the </w:t>
      </w:r>
      <w:r w:rsidR="00031654">
        <w:t xml:space="preserve">Flock </w:t>
      </w:r>
      <w:r w:rsidRPr="004E30D6">
        <w:t xml:space="preserve">database is </w:t>
      </w:r>
      <w:proofErr w:type="gramStart"/>
      <w:r w:rsidRPr="004E30D6">
        <w:t>maintained;</w:t>
      </w:r>
      <w:proofErr w:type="gramEnd"/>
    </w:p>
    <w:p w14:paraId="5CFAEFB4" w14:textId="0972D2F7" w:rsidR="004E30D6" w:rsidRDefault="004E30D6" w:rsidP="00094429">
      <w:pPr>
        <w:pStyle w:val="ListParagraph"/>
        <w:numPr>
          <w:ilvl w:val="1"/>
          <w:numId w:val="2"/>
        </w:numPr>
        <w:spacing w:after="240"/>
        <w:ind w:left="1440"/>
        <w:jc w:val="both"/>
      </w:pPr>
      <w:r w:rsidRPr="004E30D6">
        <w:t xml:space="preserve">The Privacy Policy for the </w:t>
      </w:r>
      <w:r w:rsidR="00031654">
        <w:t xml:space="preserve">Flock </w:t>
      </w:r>
      <w:proofErr w:type="gramStart"/>
      <w:r w:rsidRPr="004E30D6">
        <w:t>database;</w:t>
      </w:r>
      <w:proofErr w:type="gramEnd"/>
    </w:p>
    <w:p w14:paraId="17FB8FEC" w14:textId="77777777" w:rsidR="004E30D6" w:rsidRDefault="004E30D6" w:rsidP="00094429">
      <w:pPr>
        <w:pStyle w:val="ListParagraph"/>
        <w:spacing w:after="240"/>
        <w:ind w:left="1080"/>
        <w:jc w:val="both"/>
      </w:pPr>
    </w:p>
    <w:p w14:paraId="61BCBEC1" w14:textId="064D49A6" w:rsidR="004E30D6" w:rsidRDefault="004E30D6" w:rsidP="00094429">
      <w:pPr>
        <w:pStyle w:val="ListParagraph"/>
        <w:numPr>
          <w:ilvl w:val="0"/>
          <w:numId w:val="2"/>
        </w:numPr>
        <w:spacing w:line="480" w:lineRule="auto"/>
        <w:ind w:left="720"/>
        <w:jc w:val="both"/>
      </w:pPr>
      <w:r>
        <w:t>A</w:t>
      </w:r>
      <w:r w:rsidR="00F57AD4">
        <w:t>ny logs or records of human or manual audits of Flock data performed by either Flock or law enforcement</w:t>
      </w:r>
      <w:r w:rsidR="00031654">
        <w:t>, includi</w:t>
      </w:r>
      <w:r w:rsidR="00B35FA5">
        <w:t>ng</w:t>
      </w:r>
      <w:r w:rsidR="00031654">
        <w:t xml:space="preserve"> the </w:t>
      </w:r>
      <w:r w:rsidR="00031654" w:rsidRPr="00031654">
        <w:t xml:space="preserve">names, contact information, qualifications, </w:t>
      </w:r>
      <w:r w:rsidR="00031654">
        <w:t xml:space="preserve">certifications, </w:t>
      </w:r>
      <w:r w:rsidR="00031654" w:rsidRPr="00031654">
        <w:t>training, and proficiency testing results</w:t>
      </w:r>
      <w:r w:rsidR="00031654">
        <w:t xml:space="preserve"> of any individuals who performed such </w:t>
      </w:r>
      <w:proofErr w:type="gramStart"/>
      <w:r w:rsidR="00031654">
        <w:t>audits;</w:t>
      </w:r>
      <w:proofErr w:type="gramEnd"/>
      <w:r w:rsidR="00F57AD4">
        <w:t xml:space="preserve"> </w:t>
      </w:r>
    </w:p>
    <w:p w14:paraId="1B495DF9" w14:textId="266B604F" w:rsidR="00F93EAF" w:rsidRDefault="00F57AD4" w:rsidP="00F93EAF">
      <w:pPr>
        <w:pStyle w:val="ListParagraph"/>
        <w:numPr>
          <w:ilvl w:val="0"/>
          <w:numId w:val="2"/>
        </w:numPr>
        <w:spacing w:line="480" w:lineRule="auto"/>
        <w:ind w:left="720"/>
        <w:jc w:val="both"/>
      </w:pPr>
      <w:r>
        <w:t>[</w:t>
      </w:r>
      <w:r w:rsidR="00682B63">
        <w:rPr>
          <w:highlight w:val="yellow"/>
        </w:rPr>
        <w:t>ASK CLIENT BEFORE YOU ASK FOR THE INFORMATION IN THIS PARAGRAPH</w:t>
      </w:r>
      <w:r>
        <w:t xml:space="preserve">] </w:t>
      </w:r>
      <w:r w:rsidR="004E30D6">
        <w:t>A</w:t>
      </w:r>
      <w:r>
        <w:t xml:space="preserve">ny original photos captured by Flock </w:t>
      </w:r>
      <w:r w:rsidR="00F93EAF">
        <w:t>cameras</w:t>
      </w:r>
      <w:r>
        <w:t xml:space="preserve"> upon which law enforcement relied in its affidavit supporting the warrant at issue</w:t>
      </w:r>
      <w:r w:rsidR="00B35FA5">
        <w:t xml:space="preserve">, including but not limited to any </w:t>
      </w:r>
      <w:r w:rsidR="00B35FA5" w:rsidRPr="00B35FA5">
        <w:t xml:space="preserve">raw image files and associated metadata (including </w:t>
      </w:r>
      <w:r w:rsidR="00B35FA5">
        <w:t xml:space="preserve">but not limited to </w:t>
      </w:r>
      <w:r w:rsidR="00B35FA5" w:rsidRPr="00B35FA5">
        <w:t>GPS coordinates, timestamps, and cryptographic hashes</w:t>
      </w:r>
      <w:proofErr w:type="gramStart"/>
      <w:r w:rsidR="00B35FA5" w:rsidRPr="00B35FA5">
        <w:t>);</w:t>
      </w:r>
      <w:proofErr w:type="gramEnd"/>
      <w:r w:rsidR="00B35FA5" w:rsidRPr="00B35FA5">
        <w:t xml:space="preserve"> </w:t>
      </w:r>
    </w:p>
    <w:p w14:paraId="4519F11F" w14:textId="76043A9C" w:rsidR="0091182B" w:rsidRDefault="004E30D6" w:rsidP="00F93EAF">
      <w:pPr>
        <w:pStyle w:val="ListParagraph"/>
        <w:numPr>
          <w:ilvl w:val="0"/>
          <w:numId w:val="2"/>
        </w:numPr>
        <w:spacing w:line="480" w:lineRule="auto"/>
        <w:ind w:left="720"/>
        <w:jc w:val="both"/>
      </w:pPr>
      <w:r>
        <w:t>Any other data, Flock company records, or information about the function</w:t>
      </w:r>
      <w:r w:rsidR="0031178B">
        <w:t>, maintenance,</w:t>
      </w:r>
      <w:r>
        <w:t xml:space="preserve"> </w:t>
      </w:r>
      <w:r w:rsidR="007C7F01">
        <w:t xml:space="preserve">placement, authorization, regulation, </w:t>
      </w:r>
      <w:r w:rsidR="0031178B">
        <w:t>or</w:t>
      </w:r>
      <w:r>
        <w:t xml:space="preserve"> error rate of Flock ALPRs</w:t>
      </w:r>
      <w:r w:rsidR="00091CF4">
        <w:t xml:space="preserve"> or </w:t>
      </w:r>
      <w:r w:rsidR="00091CF4" w:rsidRPr="00B35FA5">
        <w:t>Vehicle Fingerprint®</w:t>
      </w:r>
      <w:r>
        <w:t xml:space="preserve"> </w:t>
      </w:r>
      <w:r w:rsidR="00031654">
        <w:t xml:space="preserve">required for the Prosecution’s </w:t>
      </w:r>
      <w:r w:rsidR="00586EA0">
        <w:t xml:space="preserve">mandatory </w:t>
      </w:r>
      <w:r w:rsidR="00031654">
        <w:t>compliance</w:t>
      </w:r>
      <w:r w:rsidR="007C7F01">
        <w:t xml:space="preserve"> with</w:t>
      </w:r>
      <w:r w:rsidR="00031654">
        <w:t xml:space="preserve"> </w:t>
      </w:r>
      <w:r w:rsidR="00031654" w:rsidRPr="00F93EAF">
        <w:rPr>
          <w:rFonts w:eastAsiaTheme="minorHAnsi" w:cs="Times New Roman (Body CS)"/>
          <w:i/>
          <w:iCs/>
        </w:rPr>
        <w:t>Brady v. Maryland</w:t>
      </w:r>
      <w:r w:rsidR="00031654" w:rsidRPr="00F93EAF">
        <w:rPr>
          <w:rFonts w:eastAsiaTheme="minorHAnsi" w:cs="Times New Roman (Body CS)"/>
        </w:rPr>
        <w:t>, 373 U.S. 83</w:t>
      </w:r>
      <w:r w:rsidR="00031654">
        <w:t xml:space="preserve"> </w:t>
      </w:r>
      <w:r w:rsidR="00031654" w:rsidRPr="00F93EAF">
        <w:rPr>
          <w:rFonts w:eastAsiaTheme="minorHAnsi" w:cs="Times New Roman (Body CS)"/>
        </w:rPr>
        <w:t>(1973)</w:t>
      </w:r>
      <w:r w:rsidR="00031654">
        <w:t xml:space="preserve">, </w:t>
      </w:r>
      <w:r w:rsidR="00031654" w:rsidRPr="00F93EAF">
        <w:rPr>
          <w:i/>
          <w:iCs/>
        </w:rPr>
        <w:t>Kyles v. Whitley</w:t>
      </w:r>
      <w:r w:rsidR="00031654">
        <w:t xml:space="preserve">, 514 U.S. 419 (1995), </w:t>
      </w:r>
      <w:r w:rsidR="00BD5FC1" w:rsidRPr="00F93EAF">
        <w:rPr>
          <w:i/>
          <w:iCs/>
        </w:rPr>
        <w:t>Ware v. State</w:t>
      </w:r>
      <w:r w:rsidR="00BD5FC1">
        <w:t xml:space="preserve">, 348 Md. 19 (Md. 1997), and Maryland Court Rule 4-262. </w:t>
      </w:r>
    </w:p>
    <w:p w14:paraId="32E91735" w14:textId="534DC98F" w:rsidR="00CA5785" w:rsidRPr="00F93EAF" w:rsidRDefault="00F93EAF" w:rsidP="00F93EAF">
      <w:pPr>
        <w:spacing w:line="480" w:lineRule="auto"/>
        <w:ind w:firstLine="360"/>
      </w:pPr>
      <w:r w:rsidRPr="00F93EAF">
        <w:t xml:space="preserve">For the above reasons, </w:t>
      </w:r>
      <w:r>
        <w:t xml:space="preserve">and those discussed in the accompanying memorandum of law in support of this motion, </w:t>
      </w:r>
      <w:r w:rsidR="00986424">
        <w:t>[</w:t>
      </w:r>
      <w:r w:rsidR="00986424" w:rsidRPr="00986424">
        <w:rPr>
          <w:highlight w:val="yellow"/>
        </w:rPr>
        <w:t>CLIENT</w:t>
      </w:r>
      <w:r w:rsidR="00986424">
        <w:t xml:space="preserve">] respectfully requests this Court to compel the </w:t>
      </w:r>
      <w:r w:rsidR="00E004A1">
        <w:t>P</w:t>
      </w:r>
      <w:r w:rsidR="00986424">
        <w:t xml:space="preserve">rosecution to produce the above discovery. </w:t>
      </w:r>
      <w:r w:rsidR="00CA5785" w:rsidRPr="00F93EAF">
        <w:br w:type="page"/>
      </w:r>
    </w:p>
    <w:p w14:paraId="6ED87818" w14:textId="005A7318" w:rsidR="00CA5785" w:rsidRPr="00CA5785" w:rsidRDefault="00CA5785" w:rsidP="00CA5785">
      <w:pPr>
        <w:spacing w:after="240"/>
        <w:jc w:val="center"/>
        <w:rPr>
          <w:b/>
          <w:bCs/>
        </w:rPr>
      </w:pPr>
      <w:r w:rsidRPr="00CA5785">
        <w:rPr>
          <w:b/>
          <w:bCs/>
        </w:rPr>
        <w:lastRenderedPageBreak/>
        <w:t>MEMORANDUM OF LAW IN SUPPORT OF MOTION TO COMPEL DISCOVERY</w:t>
      </w:r>
      <w:bookmarkStart w:id="0" w:name="_Hlk214368530"/>
      <w:r w:rsidRPr="00CA5785">
        <w:rPr>
          <w:b/>
          <w:bCs/>
        </w:rPr>
        <w:t xml:space="preserve"> </w:t>
      </w:r>
      <w:r w:rsidR="00217B4E">
        <w:rPr>
          <w:b/>
          <w:bCs/>
        </w:rPr>
        <w:t xml:space="preserve">PURSUANT </w:t>
      </w:r>
      <w:r w:rsidR="00217B4E" w:rsidRPr="00F93EAF">
        <w:rPr>
          <w:b/>
          <w:bCs/>
        </w:rPr>
        <w:t>TO</w:t>
      </w:r>
      <w:r w:rsidR="00F93EAF">
        <w:rPr>
          <w:b/>
          <w:bCs/>
        </w:rPr>
        <w:t xml:space="preserve"> M</w:t>
      </w:r>
      <w:r w:rsidR="001C6AC3">
        <w:rPr>
          <w:b/>
          <w:bCs/>
        </w:rPr>
        <w:t>ARYLAND</w:t>
      </w:r>
      <w:r w:rsidR="00F93EAF">
        <w:rPr>
          <w:b/>
          <w:bCs/>
        </w:rPr>
        <w:t xml:space="preserve"> RULE 4-262</w:t>
      </w:r>
      <w:r w:rsidR="00217B4E" w:rsidRPr="00F93EAF">
        <w:rPr>
          <w:b/>
          <w:bCs/>
        </w:rPr>
        <w:t xml:space="preserve"> </w:t>
      </w:r>
      <w:r w:rsidRPr="00CA5785">
        <w:rPr>
          <w:b/>
          <w:bCs/>
        </w:rPr>
        <w:t xml:space="preserve">CONCERNING </w:t>
      </w:r>
      <w:r w:rsidR="00217B4E">
        <w:rPr>
          <w:b/>
          <w:bCs/>
        </w:rPr>
        <w:t xml:space="preserve">OPERATION AND </w:t>
      </w:r>
      <w:r w:rsidRPr="00CA5785">
        <w:rPr>
          <w:b/>
          <w:bCs/>
        </w:rPr>
        <w:t>RELIABILITY OF FLOCK DATA</w:t>
      </w:r>
    </w:p>
    <w:p w14:paraId="4A338183" w14:textId="046C4598" w:rsidR="00CA5785" w:rsidRPr="00CA5785" w:rsidRDefault="00CA5785" w:rsidP="00CA5785">
      <w:pPr>
        <w:spacing w:line="480" w:lineRule="auto"/>
        <w:ind w:firstLine="720"/>
        <w:jc w:val="both"/>
        <w:rPr>
          <w:b/>
          <w:bCs/>
        </w:rPr>
      </w:pPr>
      <w:r w:rsidRPr="00091CF4">
        <w:t xml:space="preserve">Flock is a private surveillance company that relies on nonpublic artificial intelligence (AI). Its cameras feed </w:t>
      </w:r>
      <w:r>
        <w:t>data</w:t>
      </w:r>
      <w:r w:rsidRPr="00091CF4">
        <w:t xml:space="preserve"> into Automatic License Plate Readers (ALPRs) that use optical character recognition (OCR) and other opaque vehicle-feature recognition algorithms, known as Vehicle Fingerprint®, to purportedly identify specific vehicles</w:t>
      </w:r>
      <w:r>
        <w:t xml:space="preserve"> and their movements</w:t>
      </w:r>
      <w:bookmarkEnd w:id="0"/>
      <w:r>
        <w:t xml:space="preserve">. </w:t>
      </w:r>
      <w:hyperlink r:id="rId8" w:history="1">
        <w:r w:rsidRPr="00256FE3">
          <w:rPr>
            <w:rStyle w:val="Hyperlink"/>
            <w:i/>
            <w:iCs/>
          </w:rPr>
          <w:t>Flock Safety FAQ</w:t>
        </w:r>
      </w:hyperlink>
      <w:r>
        <w:t xml:space="preserve">, </w:t>
      </w:r>
      <w:r w:rsidRPr="00D10C85">
        <w:rPr>
          <w:smallCaps/>
        </w:rPr>
        <w:t>Flock</w:t>
      </w:r>
      <w:r>
        <w:rPr>
          <w:smallCaps/>
        </w:rPr>
        <w:t xml:space="preserve"> Safety</w:t>
      </w:r>
      <w:r>
        <w:t xml:space="preserve"> (last visited Oct. 13, 2025); </w:t>
      </w:r>
      <w:hyperlink r:id="rId9" w:history="1">
        <w:r w:rsidRPr="00EC64C8">
          <w:rPr>
            <w:rStyle w:val="Hyperlink"/>
            <w:i/>
            <w:iCs/>
          </w:rPr>
          <w:t>Flock Safety Launches New AI-Powered Tools to Accelerate Police Investigations</w:t>
        </w:r>
      </w:hyperlink>
      <w:r w:rsidRPr="00EC64C8">
        <w:t xml:space="preserve">, </w:t>
      </w:r>
      <w:r w:rsidRPr="00B35FA5">
        <w:t>Police1</w:t>
      </w:r>
      <w:r w:rsidRPr="00EC64C8">
        <w:t xml:space="preserve"> (May 7, 2024)</w:t>
      </w:r>
      <w:r>
        <w:t xml:space="preserve"> [hereinafter Flock </w:t>
      </w:r>
      <w:proofErr w:type="spellStart"/>
      <w:r>
        <w:t>FreeForm</w:t>
      </w:r>
      <w:proofErr w:type="spellEnd"/>
      <w:r>
        <w:t xml:space="preserve"> Tool]; </w:t>
      </w:r>
      <w:r w:rsidRPr="0031178B">
        <w:t xml:space="preserve">Nikola </w:t>
      </w:r>
      <w:proofErr w:type="spellStart"/>
      <w:r w:rsidRPr="0031178B">
        <w:t>Plavac</w:t>
      </w:r>
      <w:proofErr w:type="spellEnd"/>
      <w:r w:rsidRPr="0031178B">
        <w:t xml:space="preserve"> et al., </w:t>
      </w:r>
      <w:hyperlink r:id="rId10" w:history="1">
        <w:r w:rsidRPr="0031178B">
          <w:rPr>
            <w:rStyle w:val="Hyperlink"/>
            <w:i/>
            <w:iCs/>
          </w:rPr>
          <w:t>Performance of Automatic License Plate Recognition Systems on Distorted Images</w:t>
        </w:r>
      </w:hyperlink>
      <w:r w:rsidRPr="0031178B">
        <w:t xml:space="preserve">, 68 </w:t>
      </w:r>
      <w:r w:rsidRPr="000379D6">
        <w:rPr>
          <w:smallCaps/>
        </w:rPr>
        <w:t>J. Imaging Science &amp; Tech.</w:t>
      </w:r>
      <w:r w:rsidRPr="0031178B">
        <w:t xml:space="preserve"> 1, 1</w:t>
      </w:r>
      <w:r>
        <w:t>1</w:t>
      </w:r>
      <w:r w:rsidRPr="0031178B">
        <w:t xml:space="preserve"> (2024)</w:t>
      </w:r>
      <w:r>
        <w:t xml:space="preserve">. This artificial intelligence technology has significant limitations and is chronically </w:t>
      </w:r>
      <w:proofErr w:type="gramStart"/>
      <w:r>
        <w:t>error-prone</w:t>
      </w:r>
      <w:proofErr w:type="gramEnd"/>
      <w:r>
        <w:t xml:space="preserve">. </w:t>
      </w:r>
      <w:r w:rsidRPr="0031178B">
        <w:rPr>
          <w:i/>
          <w:iCs/>
        </w:rPr>
        <w:t>See</w:t>
      </w:r>
      <w:r w:rsidRPr="0031178B">
        <w:t xml:space="preserve"> </w:t>
      </w:r>
      <w:r w:rsidRPr="00EC64C8">
        <w:t xml:space="preserve">Plavac et al., </w:t>
      </w:r>
      <w:r w:rsidRPr="00CA4C5B">
        <w:rPr>
          <w:i/>
          <w:iCs/>
        </w:rPr>
        <w:t>supra</w:t>
      </w:r>
      <w:r w:rsidRPr="00EC64C8">
        <w:t xml:space="preserve"> at 11</w:t>
      </w:r>
      <w:r w:rsidRPr="0031178B">
        <w:t>.</w:t>
      </w:r>
      <w:r>
        <w:t xml:space="preserve"> Pursuant to </w:t>
      </w:r>
      <w:r w:rsidRPr="00F92ADE">
        <w:rPr>
          <w:highlight w:val="yellow"/>
        </w:rPr>
        <w:t>his/her/their</w:t>
      </w:r>
      <w:r>
        <w:t xml:space="preserve"> Due Process, Compulsory Process, and Confrontation Clause rights under the United States Constitution and Article 21 of the Maryland Declaration of Rights, [</w:t>
      </w:r>
      <w:r w:rsidRPr="00B35FA5">
        <w:rPr>
          <w:highlight w:val="yellow"/>
        </w:rPr>
        <w:t>CLIENT</w:t>
      </w:r>
      <w:r>
        <w:t>] is entitled to discovery regarding Flock’s function and operation to evaluate its limitations and error rates.</w:t>
      </w:r>
    </w:p>
    <w:p w14:paraId="15FC7CF8" w14:textId="41D3E239" w:rsidR="00DF3D92" w:rsidRPr="00DF3D92" w:rsidRDefault="00DF3D92" w:rsidP="00DF3D92">
      <w:pPr>
        <w:pStyle w:val="ListParagraph"/>
        <w:numPr>
          <w:ilvl w:val="0"/>
          <w:numId w:val="6"/>
        </w:numPr>
        <w:jc w:val="both"/>
        <w:rPr>
          <w:b/>
          <w:bCs/>
        </w:rPr>
      </w:pPr>
      <w:r w:rsidRPr="00DF3D92">
        <w:rPr>
          <w:b/>
          <w:bCs/>
        </w:rPr>
        <w:t xml:space="preserve">FLOCK, LIKE OTHER ARTIFICIAL INTELLIGENCE TECHNOLOGY, IS CHRONICALLY ERROR-PRONE. </w:t>
      </w:r>
    </w:p>
    <w:p w14:paraId="1252F7F5" w14:textId="77777777" w:rsidR="00DF3D92" w:rsidRDefault="00DF3D92" w:rsidP="00DF3D92">
      <w:pPr>
        <w:jc w:val="both"/>
        <w:rPr>
          <w:b/>
          <w:bCs/>
        </w:rPr>
      </w:pPr>
    </w:p>
    <w:p w14:paraId="13FF3EE2" w14:textId="4A8FECBA" w:rsidR="00DF3D92" w:rsidRDefault="00DF3D92" w:rsidP="00DF3D92">
      <w:pPr>
        <w:spacing w:line="480" w:lineRule="auto"/>
        <w:ind w:firstLine="720"/>
        <w:jc w:val="both"/>
      </w:pPr>
      <w:r>
        <w:t>Flock</w:t>
      </w:r>
      <w:r w:rsidR="00993A7B">
        <w:t>’s</w:t>
      </w:r>
      <w:r>
        <w:t xml:space="preserve"> artificial intelligence car identification systems have extensive and troubling pitfalls. They also carry significant unknowns. Like other artificial intelligence technology such as ShotSpotter and facial recognition,</w:t>
      </w:r>
      <w:r>
        <w:rPr>
          <w:rStyle w:val="FootnoteReference"/>
        </w:rPr>
        <w:footnoteReference w:id="1"/>
      </w:r>
      <w:r>
        <w:t xml:space="preserve"> Flock car recognition </w:t>
      </w:r>
      <w:r w:rsidR="00027BDE">
        <w:t xml:space="preserve">technology </w:t>
      </w:r>
      <w:r>
        <w:t xml:space="preserve">carries a unique risk of error </w:t>
      </w:r>
      <w:r>
        <w:lastRenderedPageBreak/>
        <w:t xml:space="preserve">that directly undermines </w:t>
      </w:r>
      <w:r w:rsidR="00027BDE">
        <w:t>its</w:t>
      </w:r>
      <w:r>
        <w:t xml:space="preserve"> reliability and veracity. Flock’s artificial intelligence products use machine learning, an artificial intelligence model that develops inductive reasoning patterns over time. </w:t>
      </w:r>
      <w:hyperlink r:id="rId11" w:history="1">
        <w:r w:rsidRPr="00256FE3">
          <w:rPr>
            <w:rStyle w:val="Hyperlink"/>
            <w:i/>
            <w:iCs/>
          </w:rPr>
          <w:t>Flock Safety FAQ</w:t>
        </w:r>
      </w:hyperlink>
      <w:r>
        <w:t xml:space="preserve">, </w:t>
      </w:r>
      <w:r w:rsidRPr="00D10C85">
        <w:rPr>
          <w:smallCaps/>
        </w:rPr>
        <w:t>Flock</w:t>
      </w:r>
      <w:r>
        <w:rPr>
          <w:smallCaps/>
        </w:rPr>
        <w:t xml:space="preserve"> Safety</w:t>
      </w:r>
      <w:r>
        <w:t xml:space="preserve"> (last visited Oct. 13, 2025); </w:t>
      </w:r>
      <w:r w:rsidRPr="0007575C">
        <w:t xml:space="preserve">Michael L. Rich, </w:t>
      </w:r>
      <w:hyperlink r:id="rId12" w:history="1">
        <w:r w:rsidRPr="00027BDE">
          <w:rPr>
            <w:rStyle w:val="Hyperlink"/>
            <w:i/>
            <w:iCs/>
          </w:rPr>
          <w:t>Machine Learning, Automated Suspicion Algorithms, and the Fourth Amendment</w:t>
        </w:r>
      </w:hyperlink>
      <w:r w:rsidRPr="0007575C">
        <w:t xml:space="preserve">, 164 </w:t>
      </w:r>
      <w:r w:rsidRPr="0007575C">
        <w:rPr>
          <w:smallCaps/>
        </w:rPr>
        <w:t>U. Penn. L. Rev.</w:t>
      </w:r>
      <w:r w:rsidRPr="0007575C">
        <w:t xml:space="preserve"> 871, 880 (2016).</w:t>
      </w:r>
      <w:r>
        <w:t xml:space="preserve"> Flock’s particular artificial intelligence model purportedly capture</w:t>
      </w:r>
      <w:r w:rsidR="000079CE">
        <w:t>s</w:t>
      </w:r>
      <w:r>
        <w:t>, classif</w:t>
      </w:r>
      <w:r w:rsidR="000079CE">
        <w:t>ies</w:t>
      </w:r>
      <w:r>
        <w:t xml:space="preserve">, </w:t>
      </w:r>
      <w:r w:rsidR="00027BDE">
        <w:t xml:space="preserve">and </w:t>
      </w:r>
      <w:r>
        <w:t>log</w:t>
      </w:r>
      <w:r w:rsidR="000079CE">
        <w:t>s</w:t>
      </w:r>
      <w:r>
        <w:t xml:space="preserve"> information about vehicles</w:t>
      </w:r>
      <w:r w:rsidR="00027BDE">
        <w:t xml:space="preserve">. </w:t>
      </w:r>
      <w:r w:rsidR="003A71A7">
        <w:t>The model</w:t>
      </w:r>
      <w:r w:rsidR="00027BDE">
        <w:t xml:space="preserve"> then</w:t>
      </w:r>
      <w:r>
        <w:t xml:space="preserve"> use</w:t>
      </w:r>
      <w:r w:rsidR="00A745B4">
        <w:t>s</w:t>
      </w:r>
      <w:r>
        <w:t xml:space="preserve"> that information to supposedly identify specific </w:t>
      </w:r>
      <w:r w:rsidR="00027BDE">
        <w:t>vehicles</w:t>
      </w:r>
      <w:r>
        <w:t xml:space="preserve">. Law enforcement and private citizens can gain access through </w:t>
      </w:r>
      <w:proofErr w:type="gramStart"/>
      <w:r>
        <w:t>a subscription</w:t>
      </w:r>
      <w:proofErr w:type="gramEnd"/>
      <w:r>
        <w:t xml:space="preserve">. </w:t>
      </w:r>
      <w:hyperlink r:id="rId13" w:history="1">
        <w:r w:rsidRPr="00256FE3">
          <w:rPr>
            <w:rStyle w:val="Hyperlink"/>
            <w:i/>
            <w:iCs/>
          </w:rPr>
          <w:t>Flock Safety FAQ</w:t>
        </w:r>
      </w:hyperlink>
      <w:r>
        <w:t xml:space="preserve">, </w:t>
      </w:r>
      <w:r w:rsidRPr="00D10C85">
        <w:rPr>
          <w:smallCaps/>
        </w:rPr>
        <w:t>Flock</w:t>
      </w:r>
      <w:r>
        <w:rPr>
          <w:smallCaps/>
        </w:rPr>
        <w:t xml:space="preserve"> Safety</w:t>
      </w:r>
      <w:r>
        <w:t xml:space="preserve"> (last visited Oct. 13, 2025).</w:t>
      </w:r>
    </w:p>
    <w:p w14:paraId="421C2584" w14:textId="407D7CF6" w:rsidR="00DF3D92" w:rsidRDefault="00DF3D92" w:rsidP="00DF3D92">
      <w:pPr>
        <w:spacing w:line="480" w:lineRule="auto"/>
        <w:ind w:firstLine="720"/>
        <w:jc w:val="both"/>
      </w:pPr>
      <w:r>
        <w:t xml:space="preserve">But machine learning models do not think like humans; they frequently “hallucinate,” or create false information as a function (not a bug) of their heuristic processes. </w:t>
      </w:r>
      <w:r w:rsidRPr="0007575C">
        <w:rPr>
          <w:i/>
          <w:iCs/>
        </w:rPr>
        <w:t xml:space="preserve">See </w:t>
      </w:r>
      <w:r w:rsidRPr="0007575C">
        <w:t xml:space="preserve">Johan Fredrikzon, </w:t>
      </w:r>
      <w:hyperlink r:id="rId14" w:history="1">
        <w:r w:rsidRPr="0007575C">
          <w:rPr>
            <w:rStyle w:val="Hyperlink"/>
            <w:i/>
            <w:iCs/>
          </w:rPr>
          <w:t xml:space="preserve">Rethinking Error: “Hallucinations” and Epistemological Indifference </w:t>
        </w:r>
      </w:hyperlink>
      <w:r w:rsidRPr="0007575C">
        <w:rPr>
          <w:i/>
          <w:iCs/>
        </w:rPr>
        <w:t xml:space="preserve"> </w:t>
      </w:r>
      <w:r w:rsidRPr="0007575C">
        <w:t>3 Critical AI 1 (2025).</w:t>
      </w:r>
      <w:r>
        <w:t xml:space="preserve"> This is because machine learning models like Flock </w:t>
      </w:r>
      <w:r w:rsidR="00027BDE">
        <w:t>focus on</w:t>
      </w:r>
      <w:r>
        <w:t xml:space="preserve"> </w:t>
      </w:r>
      <w:r w:rsidRPr="0007575C">
        <w:rPr>
          <w:i/>
          <w:iCs/>
        </w:rPr>
        <w:t>outcome</w:t>
      </w:r>
      <w:r>
        <w:t xml:space="preserve">, not process. And the cumulative nature of machine learning means that past mistakes inform future outputs, making machine learning “approximations” </w:t>
      </w:r>
      <w:proofErr w:type="gramStart"/>
      <w:r>
        <w:t>more and more</w:t>
      </w:r>
      <w:proofErr w:type="gramEnd"/>
      <w:r>
        <w:t xml:space="preserve"> unreliable over time. Rich, </w:t>
      </w:r>
      <w:r w:rsidRPr="0007575C">
        <w:rPr>
          <w:i/>
          <w:iCs/>
        </w:rPr>
        <w:t>supra</w:t>
      </w:r>
      <w:r>
        <w:t xml:space="preserve"> at 883. </w:t>
      </w:r>
      <w:r w:rsidR="00027BDE">
        <w:t>In practice, i</w:t>
      </w:r>
      <w:r>
        <w:t>nterference from</w:t>
      </w:r>
      <w:r w:rsidRPr="0007575C">
        <w:t xml:space="preserve"> technological “noise</w:t>
      </w:r>
      <w:r>
        <w:t xml:space="preserve">” and standard </w:t>
      </w:r>
      <w:r w:rsidRPr="0007575C">
        <w:t>weather</w:t>
      </w:r>
      <w:r>
        <w:t xml:space="preserve"> conditions cause</w:t>
      </w:r>
      <w:r w:rsidR="00027BDE">
        <w:t>s</w:t>
      </w:r>
      <w:r>
        <w:t xml:space="preserve"> ALPR accuracy to plummet to “near zero” in some datasets.</w:t>
      </w:r>
      <w:r w:rsidRPr="0007575C">
        <w:t xml:space="preserve"> </w:t>
      </w:r>
      <w:r>
        <w:t xml:space="preserve">Plavac et al., </w:t>
      </w:r>
      <w:r w:rsidRPr="00574FE4">
        <w:rPr>
          <w:i/>
          <w:iCs/>
        </w:rPr>
        <w:t>supra</w:t>
      </w:r>
      <w:r>
        <w:t xml:space="preserve"> at</w:t>
      </w:r>
      <w:r w:rsidRPr="0007575C">
        <w:t xml:space="preserve"> 11</w:t>
      </w:r>
      <w:r>
        <w:t xml:space="preserve">; </w:t>
      </w:r>
      <w:hyperlink r:id="rId15" w:history="1">
        <w:r w:rsidRPr="0007575C">
          <w:rPr>
            <w:rStyle w:val="Hyperlink"/>
          </w:rPr>
          <w:t>Automated License Plate Readers: Market Survey Report, Dept. Homeland Sec</w:t>
        </w:r>
      </w:hyperlink>
      <w:r w:rsidRPr="0007575C">
        <w:t xml:space="preserve">. 6-10 (2025) [hereinafter </w:t>
      </w:r>
      <w:r w:rsidRPr="00574FE4">
        <w:rPr>
          <w:smallCaps/>
        </w:rPr>
        <w:t>DHS Market Survey Report</w:t>
      </w:r>
      <w:r w:rsidRPr="0007575C">
        <w:t xml:space="preserve">]. </w:t>
      </w:r>
      <w:r>
        <w:t>L</w:t>
      </w:r>
      <w:r w:rsidRPr="0007575C">
        <w:t>ighting</w:t>
      </w:r>
      <w:r>
        <w:t>, angles, and partial plate</w:t>
      </w:r>
      <w:r w:rsidR="008D6616">
        <w:t xml:space="preserve"> captures </w:t>
      </w:r>
      <w:r>
        <w:t xml:space="preserve">compound error rates. </w:t>
      </w:r>
      <w:r w:rsidRPr="00632150">
        <w:rPr>
          <w:smallCaps/>
        </w:rPr>
        <w:t>Jay Stanley</w:t>
      </w:r>
      <w:r>
        <w:t xml:space="preserve">, </w:t>
      </w:r>
      <w:hyperlink r:id="rId16" w:history="1">
        <w:r w:rsidRPr="0055523F">
          <w:rPr>
            <w:rStyle w:val="Hyperlink"/>
            <w:smallCaps/>
          </w:rPr>
          <w:t>The Dawn of Robot Surveillance</w:t>
        </w:r>
      </w:hyperlink>
      <w:r>
        <w:t xml:space="preserve">, </w:t>
      </w:r>
      <w:r w:rsidRPr="00632150">
        <w:t xml:space="preserve">ACLU </w:t>
      </w:r>
      <w:r>
        <w:t xml:space="preserve">19 (2019) [hereinafter </w:t>
      </w:r>
      <w:r w:rsidRPr="008F3B9B">
        <w:rPr>
          <w:smallCaps/>
        </w:rPr>
        <w:t>Stanley</w:t>
      </w:r>
      <w:r>
        <w:t xml:space="preserve">, ACLU]. </w:t>
      </w:r>
    </w:p>
    <w:p w14:paraId="15E043BE" w14:textId="28DF64AE" w:rsidR="00DF3D92" w:rsidRPr="0007575C" w:rsidRDefault="008D6616" w:rsidP="00B27410">
      <w:pPr>
        <w:spacing w:line="480" w:lineRule="auto"/>
        <w:ind w:firstLine="720"/>
        <w:jc w:val="both"/>
      </w:pPr>
      <w:r>
        <w:t>In</w:t>
      </w:r>
      <w:r w:rsidR="00DF3D92">
        <w:t xml:space="preserve"> a field study, Flock ALPRs </w:t>
      </w:r>
      <w:r w:rsidR="000079CE">
        <w:t xml:space="preserve">frequently misread </w:t>
      </w:r>
      <w:r w:rsidR="00DF3D92">
        <w:t>state affiliation on license plates</w:t>
      </w:r>
      <w:r w:rsidR="000079CE">
        <w:t xml:space="preserve">, </w:t>
      </w:r>
      <w:r w:rsidR="00DF3D92">
        <w:t xml:space="preserve">plate numbers, vehicle characteristics, and car make. </w:t>
      </w:r>
      <w:r w:rsidR="00DF3D92" w:rsidRPr="00574FE4">
        <w:t xml:space="preserve">Patrick McCarthy, </w:t>
      </w:r>
      <w:hyperlink r:id="rId17" w:history="1">
        <w:r w:rsidR="00DF3D92" w:rsidRPr="00574FE4">
          <w:rPr>
            <w:rStyle w:val="Hyperlink"/>
            <w:i/>
            <w:iCs/>
          </w:rPr>
          <w:t>A Study Found Syracuse’s New License Plate Readers Make Frequent Mistakes</w:t>
        </w:r>
      </w:hyperlink>
      <w:r w:rsidR="00DF3D92" w:rsidRPr="00574FE4">
        <w:rPr>
          <w:i/>
          <w:iCs/>
        </w:rPr>
        <w:t>.</w:t>
      </w:r>
      <w:r w:rsidR="00DF3D92" w:rsidRPr="00574FE4">
        <w:t xml:space="preserve">, </w:t>
      </w:r>
      <w:r w:rsidR="00DF3D92" w:rsidRPr="00885970">
        <w:rPr>
          <w:smallCaps/>
        </w:rPr>
        <w:t>Cent. Current</w:t>
      </w:r>
      <w:r w:rsidR="00DF3D92" w:rsidRPr="00574FE4">
        <w:t xml:space="preserve"> (Aug. 13, 2024) [hereinafter McCarthy, </w:t>
      </w:r>
      <w:r w:rsidR="00DF3D92" w:rsidRPr="00574FE4">
        <w:rPr>
          <w:i/>
          <w:iCs/>
        </w:rPr>
        <w:t>Flock Study</w:t>
      </w:r>
      <w:r w:rsidR="00DF3D92" w:rsidRPr="00574FE4">
        <w:t>].</w:t>
      </w:r>
      <w:r w:rsidR="00DF3D92">
        <w:t xml:space="preserve"> Just like documented issues with ShotSpotter and facial recognition </w:t>
      </w:r>
      <w:r w:rsidR="00DF3D92">
        <w:lastRenderedPageBreak/>
        <w:t xml:space="preserve">technologies, Flock artificial intelligence is intrinsically flawed and unreliable. Flock’s reliance on the FBI’s notoriously unreliable NCIC database further compromises its reliability. Jay Stanley, </w:t>
      </w:r>
      <w:hyperlink r:id="rId18" w:history="1">
        <w:r w:rsidR="00DF3D92" w:rsidRPr="00D40588">
          <w:rPr>
            <w:rStyle w:val="Hyperlink"/>
            <w:i/>
            <w:iCs/>
          </w:rPr>
          <w:t>FBI Wants to Exempt Biometric Mega-Database From Privacy and Accuracy Rules</w:t>
        </w:r>
      </w:hyperlink>
      <w:r w:rsidR="00DF3D92">
        <w:t xml:space="preserve">, ACLU (May 31, 2016) [hereinafter Stanley, </w:t>
      </w:r>
      <w:r w:rsidR="00DF3D92" w:rsidRPr="00EA5DE2">
        <w:rPr>
          <w:i/>
          <w:iCs/>
        </w:rPr>
        <w:t>FBI</w:t>
      </w:r>
      <w:r w:rsidR="00DF3D92">
        <w:t xml:space="preserve">]. Still worse, Flock permits private civilians to add vehicles to its “Hot Lists” that alert law enforcement. </w:t>
      </w:r>
      <w:hyperlink r:id="rId19" w:history="1">
        <w:r w:rsidR="00DF3D92" w:rsidRPr="00D40588">
          <w:rPr>
            <w:rStyle w:val="Hyperlink"/>
            <w:i/>
            <w:iCs/>
          </w:rPr>
          <w:t>The Hotlist</w:t>
        </w:r>
      </w:hyperlink>
      <w:r w:rsidR="00DF3D92">
        <w:t xml:space="preserve">, </w:t>
      </w:r>
      <w:r w:rsidR="00DF3D92" w:rsidRPr="0080688E">
        <w:rPr>
          <w:smallCaps/>
        </w:rPr>
        <w:t>Flock Safety</w:t>
      </w:r>
      <w:r w:rsidR="00DF3D92">
        <w:t xml:space="preserve"> (June 1, 2023) (“</w:t>
      </w:r>
      <w:r w:rsidR="00DF3D92" w:rsidRPr="00001B64">
        <w:t>Customers can also place at-risk vehicles or license plates on custom HotLists to alert law enforcement or on-site security instantly</w:t>
      </w:r>
      <w:r w:rsidR="00A745B4">
        <w:t>.</w:t>
      </w:r>
      <w:r w:rsidR="00DF3D92">
        <w:t>”).</w:t>
      </w:r>
    </w:p>
    <w:p w14:paraId="57939734" w14:textId="051DD102" w:rsidR="00DF3D92" w:rsidRDefault="000079CE" w:rsidP="00DF3D92">
      <w:pPr>
        <w:spacing w:line="480" w:lineRule="auto"/>
        <w:ind w:firstLine="720"/>
        <w:jc w:val="both"/>
      </w:pPr>
      <w:r>
        <w:t xml:space="preserve">These </w:t>
      </w:r>
      <w:r w:rsidR="00DF3D92">
        <w:t xml:space="preserve">environmental factors and technological limitations are concerning. But what is most troublesome is what </w:t>
      </w:r>
      <w:r>
        <w:t>we don’t</w:t>
      </w:r>
      <w:r w:rsidR="00DF3D92">
        <w:t xml:space="preserve"> know. A lack of regulation in the technology sector has resulted in a troubling dearth of information about how Flock systems work.</w:t>
      </w:r>
      <w:r w:rsidR="00FE2EDE">
        <w:t xml:space="preserve"> Center for Human Rights, </w:t>
      </w:r>
      <w:hyperlink r:id="rId20" w:anchor="_ftn21" w:history="1">
        <w:r w:rsidR="00FE2EDE" w:rsidRPr="00CA5785">
          <w:rPr>
            <w:rStyle w:val="Hyperlink"/>
            <w:i/>
            <w:iCs/>
          </w:rPr>
          <w:t>Leaving the Door Wide Open: Flock Surveillance Systems Expose Washington Data to Immigration Enforcement</w:t>
        </w:r>
      </w:hyperlink>
      <w:r w:rsidR="00FE2EDE">
        <w:t xml:space="preserve">, </w:t>
      </w:r>
      <w:r w:rsidR="00FE2EDE" w:rsidRPr="00644A62">
        <w:t>University of Washington</w:t>
      </w:r>
      <w:r w:rsidR="00FE2EDE">
        <w:t xml:space="preserve"> (Oct. 21, 2025) (“</w:t>
      </w:r>
      <w:r w:rsidR="00F35DA2">
        <w:t>[U]</w:t>
      </w:r>
      <w:proofErr w:type="spellStart"/>
      <w:r w:rsidR="00FE2EDE" w:rsidRPr="00FE2EDE">
        <w:t>nlike</w:t>
      </w:r>
      <w:proofErr w:type="spellEnd"/>
      <w:r w:rsidR="00FE2EDE" w:rsidRPr="00FE2EDE">
        <w:t xml:space="preserve"> all its major competitors in the ALPR market, Flock has refused to allow independent security analysts to test its devices to ensure that claims made by the company are accurate</w:t>
      </w:r>
      <w:r w:rsidR="00F35DA2">
        <w:t>.</w:t>
      </w:r>
      <w:r w:rsidR="00FE2EDE">
        <w:t>”)</w:t>
      </w:r>
      <w:r w:rsidR="00DF3D92">
        <w:t>.</w:t>
      </w:r>
      <w:r w:rsidR="00DF3D92" w:rsidRPr="00574FE4">
        <w:t xml:space="preserve"> </w:t>
      </w:r>
      <w:r w:rsidR="00DF3D92">
        <w:t xml:space="preserve">We know </w:t>
      </w:r>
      <w:r w:rsidR="00DF3D92" w:rsidRPr="00574FE4">
        <w:rPr>
          <w:i/>
          <w:iCs/>
        </w:rPr>
        <w:t>what</w:t>
      </w:r>
      <w:r w:rsidR="00DF3D92">
        <w:t xml:space="preserve"> </w:t>
      </w:r>
      <w:r w:rsidR="00644A62">
        <w:t xml:space="preserve">Flock </w:t>
      </w:r>
      <w:r w:rsidR="00DF3D92">
        <w:t xml:space="preserve">cameras purport to do, but nothing about </w:t>
      </w:r>
      <w:r w:rsidR="00DF3D92" w:rsidRPr="00574FE4">
        <w:rPr>
          <w:i/>
          <w:iCs/>
        </w:rPr>
        <w:t>how</w:t>
      </w:r>
      <w:r w:rsidR="00DF3D92">
        <w:t xml:space="preserve"> these cameras and associated artificial intelligence</w:t>
      </w:r>
      <w:r w:rsidR="00F35DA2">
        <w:t xml:space="preserve"> model</w:t>
      </w:r>
      <w:r w:rsidR="00DF3D92">
        <w:t xml:space="preserve"> register and log vehicle information, how the artificial intelligence model was developed or trained, how </w:t>
      </w:r>
      <w:r w:rsidR="00FE2EDE">
        <w:t>artificial</w:t>
      </w:r>
      <w:r w:rsidR="00DF3D92">
        <w:t xml:space="preserve"> intelligence identifies vehicles, how Flock maintains or monitors its database, or what the error rate of its purported vehicle identification is. We know that Flock cameras use artificial intelligence to capture </w:t>
      </w:r>
      <w:r w:rsidR="00FE2EDE">
        <w:t xml:space="preserve">data about </w:t>
      </w:r>
      <w:r w:rsidR="00DF3D92">
        <w:t>vehicles</w:t>
      </w:r>
      <w:r w:rsidR="00FE2EDE">
        <w:t xml:space="preserve"> </w:t>
      </w:r>
      <w:r w:rsidR="00986424">
        <w:t>and that</w:t>
      </w:r>
      <w:r w:rsidR="00FE2EDE">
        <w:t xml:space="preserve"> </w:t>
      </w:r>
      <w:r w:rsidR="00DF3D92">
        <w:t xml:space="preserve">machine-generated data is logged, and the original photo is not. </w:t>
      </w:r>
      <w:hyperlink r:id="rId21" w:history="1">
        <w:r w:rsidR="00DF3D92" w:rsidRPr="00256FE3">
          <w:rPr>
            <w:rStyle w:val="Hyperlink"/>
            <w:i/>
            <w:iCs/>
          </w:rPr>
          <w:t>Flock Safety FAQ</w:t>
        </w:r>
      </w:hyperlink>
      <w:r w:rsidR="00DF3D92">
        <w:t xml:space="preserve">, </w:t>
      </w:r>
      <w:r w:rsidR="00DF3D92" w:rsidRPr="00D10C85">
        <w:rPr>
          <w:smallCaps/>
        </w:rPr>
        <w:t>Flock</w:t>
      </w:r>
      <w:r w:rsidR="00DF3D92">
        <w:rPr>
          <w:smallCaps/>
        </w:rPr>
        <w:t xml:space="preserve"> Safety</w:t>
      </w:r>
      <w:r w:rsidR="00DF3D92">
        <w:t xml:space="preserve"> (last visited Oct. 13, 2025). But we know nothing about the precise </w:t>
      </w:r>
      <w:r w:rsidR="00DF3D92" w:rsidRPr="001A6DBB">
        <w:rPr>
          <w:i/>
          <w:iCs/>
        </w:rPr>
        <w:t>mechanics</w:t>
      </w:r>
      <w:r w:rsidR="00DF3D92">
        <w:t xml:space="preserve"> of that process</w:t>
      </w:r>
      <w:r w:rsidR="00FE2EDE">
        <w:t xml:space="preserve"> and how</w:t>
      </w:r>
      <w:r w:rsidR="00993A7B">
        <w:t xml:space="preserve"> </w:t>
      </w:r>
      <w:proofErr w:type="gramStart"/>
      <w:r w:rsidR="00993A7B">
        <w:t>the artificial</w:t>
      </w:r>
      <w:proofErr w:type="gramEnd"/>
      <w:r w:rsidR="00993A7B">
        <w:t xml:space="preserve"> intelligence</w:t>
      </w:r>
      <w:r w:rsidR="00FE2EDE">
        <w:t xml:space="preserve"> then matches collected data to a specific vehicle or the (in)accuracy of these conclusions</w:t>
      </w:r>
      <w:r w:rsidR="00DF3D92">
        <w:t xml:space="preserve">. </w:t>
      </w:r>
    </w:p>
    <w:p w14:paraId="541C9529" w14:textId="292FBAE4" w:rsidR="00DF3D92" w:rsidRDefault="00DF3D92" w:rsidP="00DF3D92">
      <w:pPr>
        <w:spacing w:line="480" w:lineRule="auto"/>
        <w:ind w:firstLine="720"/>
        <w:jc w:val="both"/>
        <w:rPr>
          <w:smallCaps/>
        </w:rPr>
      </w:pPr>
      <w:r>
        <w:lastRenderedPageBreak/>
        <w:t xml:space="preserve">For example, we do not know whether the original photos are permanently deleted or what the artificial intelligence models “see” and how they “identify” vehicles. The Department of Homeland Security requires manual verification of all ALPR data—but we have no information about if, how, or when Flock performs any such verifications. </w:t>
      </w:r>
      <w:r w:rsidRPr="00574FE4">
        <w:rPr>
          <w:smallCaps/>
        </w:rPr>
        <w:t>DHS Market Survey Report</w:t>
      </w:r>
      <w:r w:rsidRPr="00E30059">
        <w:t xml:space="preserve">, </w:t>
      </w:r>
      <w:r w:rsidRPr="00E30059">
        <w:rPr>
          <w:i/>
          <w:iCs/>
        </w:rPr>
        <w:t>supra</w:t>
      </w:r>
      <w:r w:rsidRPr="00E30059">
        <w:t xml:space="preserve"> at </w:t>
      </w:r>
      <w:r>
        <w:t>10 (“</w:t>
      </w:r>
      <w:r w:rsidRPr="00E30059">
        <w:t>Because of the possibility of errors in the automatic analysis of LPR data, manual analysis (performed by human operators) is required in law enforcement applications</w:t>
      </w:r>
      <w:r w:rsidR="00F35DA2">
        <w:t>.</w:t>
      </w:r>
      <w:r>
        <w:rPr>
          <w:smallCaps/>
        </w:rPr>
        <w:t xml:space="preserve">”). </w:t>
      </w:r>
    </w:p>
    <w:p w14:paraId="684E0DF4" w14:textId="509D9675" w:rsidR="008F2875" w:rsidRDefault="008F2875" w:rsidP="008F2875">
      <w:pPr>
        <w:spacing w:line="480" w:lineRule="auto"/>
        <w:ind w:firstLine="720"/>
        <w:jc w:val="both"/>
      </w:pPr>
      <w:r>
        <w:t xml:space="preserve">The newest and least understood iteration of Flock technology is Flock’s </w:t>
      </w:r>
      <w:proofErr w:type="spellStart"/>
      <w:r>
        <w:rPr>
          <w:rFonts w:cs="Times New Roman"/>
        </w:rPr>
        <w:t>FreeForm</w:t>
      </w:r>
      <w:proofErr w:type="spellEnd"/>
      <w:r>
        <w:rPr>
          <w:rFonts w:cs="Times New Roman"/>
        </w:rPr>
        <w:t xml:space="preserve">™ enhancements. </w:t>
      </w:r>
      <w:r w:rsidR="001C6AC3" w:rsidRPr="00CA4C5B">
        <w:t xml:space="preserve">Flock </w:t>
      </w:r>
      <w:proofErr w:type="spellStart"/>
      <w:r w:rsidR="001C6AC3" w:rsidRPr="00CA4C5B">
        <w:t>FreeForm</w:t>
      </w:r>
      <w:proofErr w:type="spellEnd"/>
      <w:r w:rsidR="001C6AC3" w:rsidRPr="00CA4C5B">
        <w:t xml:space="preserve"> Tool</w:t>
      </w:r>
      <w:r>
        <w:rPr>
          <w:rFonts w:cs="Times New Roman"/>
        </w:rPr>
        <w:t xml:space="preserve">, </w:t>
      </w:r>
      <w:r w:rsidRPr="00027BDE">
        <w:rPr>
          <w:rFonts w:cs="Times New Roman"/>
          <w:i/>
          <w:iCs/>
        </w:rPr>
        <w:t>supra</w:t>
      </w:r>
      <w:r>
        <w:rPr>
          <w:rFonts w:cs="Times New Roman"/>
        </w:rPr>
        <w:t xml:space="preserve">. </w:t>
      </w:r>
      <w:proofErr w:type="spellStart"/>
      <w:r>
        <w:rPr>
          <w:rFonts w:cs="Times New Roman"/>
        </w:rPr>
        <w:t>FreeForm</w:t>
      </w:r>
      <w:proofErr w:type="spellEnd"/>
      <w:r>
        <w:rPr>
          <w:rFonts w:cs="Times New Roman"/>
        </w:rPr>
        <w:t xml:space="preserve">™ builds on Flock Vehicle </w:t>
      </w:r>
      <w:r w:rsidRPr="00027BDE">
        <w:rPr>
          <w:rFonts w:asciiTheme="majorHAnsi" w:hAnsiTheme="majorHAnsi" w:cstheme="majorHAnsi"/>
        </w:rPr>
        <w:t>Fingerprint®</w:t>
      </w:r>
      <w:r>
        <w:rPr>
          <w:rFonts w:asciiTheme="majorHAnsi" w:hAnsiTheme="majorHAnsi" w:cstheme="majorHAnsi"/>
        </w:rPr>
        <w:t xml:space="preserve"> technology, “</w:t>
      </w:r>
      <w:proofErr w:type="spellStart"/>
      <w:r>
        <w:rPr>
          <w:rFonts w:asciiTheme="majorHAnsi" w:hAnsiTheme="majorHAnsi" w:cstheme="majorHAnsi"/>
        </w:rPr>
        <w:t>enabl</w:t>
      </w:r>
      <w:proofErr w:type="spellEnd"/>
      <w:r>
        <w:rPr>
          <w:rFonts w:asciiTheme="majorHAnsi" w:hAnsiTheme="majorHAnsi" w:cstheme="majorHAnsi"/>
        </w:rPr>
        <w:t>[</w:t>
      </w:r>
      <w:proofErr w:type="spellStart"/>
      <w:r>
        <w:rPr>
          <w:rFonts w:asciiTheme="majorHAnsi" w:hAnsiTheme="majorHAnsi" w:cstheme="majorHAnsi"/>
        </w:rPr>
        <w:t>ing</w:t>
      </w:r>
      <w:proofErr w:type="spellEnd"/>
      <w:r>
        <w:rPr>
          <w:rFonts w:asciiTheme="majorHAnsi" w:hAnsiTheme="majorHAnsi" w:cstheme="majorHAnsi"/>
        </w:rPr>
        <w:t>]</w:t>
      </w:r>
      <w:r w:rsidRPr="00027BDE">
        <w:rPr>
          <w:rFonts w:asciiTheme="majorHAnsi" w:hAnsiTheme="majorHAnsi" w:cstheme="majorHAnsi"/>
        </w:rPr>
        <w:t xml:space="preserve"> investigators and patrol officers to search for vehicles using plain language across all Flock LPR and video cameras</w:t>
      </w:r>
      <w:r>
        <w:rPr>
          <w:rFonts w:asciiTheme="majorHAnsi" w:hAnsiTheme="majorHAnsi" w:cstheme="majorHAnsi"/>
        </w:rPr>
        <w:t xml:space="preserve">.” </w:t>
      </w:r>
      <w:r w:rsidRPr="00027BDE">
        <w:rPr>
          <w:rFonts w:asciiTheme="majorHAnsi" w:hAnsiTheme="majorHAnsi" w:cstheme="majorHAnsi"/>
          <w:i/>
          <w:iCs/>
        </w:rPr>
        <w:t>Id.</w:t>
      </w:r>
      <w:r>
        <w:rPr>
          <w:rFonts w:asciiTheme="majorHAnsi" w:hAnsiTheme="majorHAnsi" w:cstheme="majorHAnsi"/>
        </w:rPr>
        <w:t xml:space="preserve"> In short, Flock artificial intelligence purports to be able to recognize “unique characteristics” of vehicles and log those accurately in real time</w:t>
      </w:r>
      <w:r w:rsidR="00F157EA">
        <w:rPr>
          <w:rFonts w:asciiTheme="majorHAnsi" w:hAnsiTheme="majorHAnsi" w:cstheme="majorHAnsi"/>
        </w:rPr>
        <w:t xml:space="preserve"> so law enforcement can search the Flock database</w:t>
      </w:r>
      <w:r w:rsidR="00986424">
        <w:rPr>
          <w:rFonts w:asciiTheme="majorHAnsi" w:hAnsiTheme="majorHAnsi" w:cstheme="majorHAnsi"/>
        </w:rPr>
        <w:t xml:space="preserve"> for the location of vehicles using key words</w:t>
      </w:r>
      <w:r>
        <w:rPr>
          <w:rFonts w:asciiTheme="majorHAnsi" w:hAnsiTheme="majorHAnsi" w:cstheme="majorHAnsi"/>
        </w:rPr>
        <w:t xml:space="preserve">. </w:t>
      </w:r>
      <w:r w:rsidRPr="00027BDE">
        <w:rPr>
          <w:rFonts w:asciiTheme="majorHAnsi" w:hAnsiTheme="majorHAnsi" w:cstheme="majorHAnsi"/>
          <w:i/>
          <w:iCs/>
        </w:rPr>
        <w:t>Id.</w:t>
      </w:r>
      <w:r>
        <w:rPr>
          <w:rFonts w:asciiTheme="majorHAnsi" w:hAnsiTheme="majorHAnsi" w:cstheme="majorHAnsi"/>
        </w:rPr>
        <w:t xml:space="preserve"> These </w:t>
      </w:r>
      <w:r w:rsidR="00F157EA">
        <w:rPr>
          <w:rFonts w:asciiTheme="majorHAnsi" w:hAnsiTheme="majorHAnsi" w:cstheme="majorHAnsi"/>
        </w:rPr>
        <w:t>assertions</w:t>
      </w:r>
      <w:r>
        <w:rPr>
          <w:rFonts w:asciiTheme="majorHAnsi" w:hAnsiTheme="majorHAnsi" w:cstheme="majorHAnsi"/>
        </w:rPr>
        <w:t xml:space="preserve"> continue despite empirical findings that artificial intelligence models struggle tremendously to detect “text in the wild” and are susceptible to interference. </w:t>
      </w:r>
      <w:r w:rsidRPr="008F2875">
        <w:rPr>
          <w:rFonts w:asciiTheme="majorHAnsi" w:hAnsiTheme="majorHAnsi" w:cstheme="majorHAnsi"/>
          <w:smallCaps/>
        </w:rPr>
        <w:t>Stanley</w:t>
      </w:r>
      <w:r>
        <w:rPr>
          <w:rFonts w:asciiTheme="majorHAnsi" w:hAnsiTheme="majorHAnsi" w:cstheme="majorHAnsi"/>
        </w:rPr>
        <w:t>, ACLU</w:t>
      </w:r>
      <w:r w:rsidR="00F157EA">
        <w:rPr>
          <w:rFonts w:asciiTheme="majorHAnsi" w:hAnsiTheme="majorHAnsi" w:cstheme="majorHAnsi"/>
        </w:rPr>
        <w:t xml:space="preserve"> at 19</w:t>
      </w:r>
      <w:r>
        <w:rPr>
          <w:rFonts w:asciiTheme="majorHAnsi" w:hAnsiTheme="majorHAnsi" w:cstheme="majorHAnsi"/>
        </w:rPr>
        <w:t xml:space="preserve">; </w:t>
      </w:r>
      <w:proofErr w:type="spellStart"/>
      <w:r w:rsidRPr="0007575C">
        <w:t>Fredrikzon</w:t>
      </w:r>
      <w:proofErr w:type="spellEnd"/>
      <w:r>
        <w:rPr>
          <w:rFonts w:asciiTheme="majorHAnsi" w:hAnsiTheme="majorHAnsi" w:cstheme="majorHAnsi"/>
        </w:rPr>
        <w:t xml:space="preserve">, </w:t>
      </w:r>
      <w:r w:rsidRPr="008F2875">
        <w:rPr>
          <w:rFonts w:asciiTheme="majorHAnsi" w:hAnsiTheme="majorHAnsi" w:cstheme="majorHAnsi"/>
          <w:i/>
          <w:iCs/>
        </w:rPr>
        <w:t>supra</w:t>
      </w:r>
      <w:r>
        <w:rPr>
          <w:rFonts w:asciiTheme="majorHAnsi" w:hAnsiTheme="majorHAnsi" w:cstheme="majorHAnsi"/>
        </w:rPr>
        <w:t xml:space="preserve"> at 1; </w:t>
      </w:r>
      <w:r>
        <w:t xml:space="preserve">Rich, </w:t>
      </w:r>
      <w:r w:rsidRPr="0007575C">
        <w:rPr>
          <w:i/>
          <w:iCs/>
        </w:rPr>
        <w:t>supra</w:t>
      </w:r>
      <w:r>
        <w:t xml:space="preserve"> at 883.</w:t>
      </w:r>
      <w:r>
        <w:rPr>
          <w:rFonts w:asciiTheme="majorHAnsi" w:hAnsiTheme="majorHAnsi" w:cstheme="majorHAnsi"/>
        </w:rPr>
        <w:t xml:space="preserve"> These new versions </w:t>
      </w:r>
      <w:r w:rsidR="00F157EA">
        <w:rPr>
          <w:rFonts w:asciiTheme="majorHAnsi" w:hAnsiTheme="majorHAnsi" w:cstheme="majorHAnsi"/>
        </w:rPr>
        <w:t xml:space="preserve">purport to </w:t>
      </w:r>
      <w:r>
        <w:rPr>
          <w:rFonts w:asciiTheme="majorHAnsi" w:hAnsiTheme="majorHAnsi" w:cstheme="majorHAnsi"/>
        </w:rPr>
        <w:t>expan</w:t>
      </w:r>
      <w:r w:rsidR="00F157EA">
        <w:rPr>
          <w:rFonts w:asciiTheme="majorHAnsi" w:hAnsiTheme="majorHAnsi" w:cstheme="majorHAnsi"/>
        </w:rPr>
        <w:t xml:space="preserve">d </w:t>
      </w:r>
      <w:r>
        <w:rPr>
          <w:rFonts w:asciiTheme="majorHAnsi" w:hAnsiTheme="majorHAnsi" w:cstheme="majorHAnsi"/>
        </w:rPr>
        <w:t xml:space="preserve">Flock surveillance to include “multi-state insights,” “Plate swap insights,” and </w:t>
      </w:r>
      <w:proofErr w:type="spellStart"/>
      <w:r>
        <w:rPr>
          <w:rFonts w:asciiTheme="majorHAnsi" w:hAnsiTheme="majorHAnsi" w:cstheme="majorHAnsi"/>
        </w:rPr>
        <w:t>HotSpot</w:t>
      </w:r>
      <w:proofErr w:type="spellEnd"/>
      <w:r>
        <w:rPr>
          <w:rFonts w:asciiTheme="majorHAnsi" w:hAnsiTheme="majorHAnsi" w:cstheme="majorHAnsi"/>
        </w:rPr>
        <w:t xml:space="preserve"> </w:t>
      </w:r>
      <w:r w:rsidR="00F157EA">
        <w:rPr>
          <w:rFonts w:asciiTheme="majorHAnsi" w:hAnsiTheme="majorHAnsi" w:cstheme="majorHAnsi"/>
        </w:rPr>
        <w:t xml:space="preserve">list </w:t>
      </w:r>
      <w:r>
        <w:rPr>
          <w:rFonts w:asciiTheme="majorHAnsi" w:hAnsiTheme="majorHAnsi" w:cstheme="majorHAnsi"/>
        </w:rPr>
        <w:t xml:space="preserve">analysis. </w:t>
      </w:r>
      <w:r w:rsidRPr="00027BDE">
        <w:rPr>
          <w:rFonts w:asciiTheme="majorHAnsi" w:hAnsiTheme="majorHAnsi" w:cstheme="majorHAnsi"/>
          <w:i/>
          <w:iCs/>
        </w:rPr>
        <w:t>Id.</w:t>
      </w:r>
      <w:r>
        <w:rPr>
          <w:rFonts w:asciiTheme="majorHAnsi" w:hAnsiTheme="majorHAnsi" w:cstheme="majorHAnsi"/>
        </w:rPr>
        <w:t xml:space="preserve"> As with other Flock technology, however, there is no transparency as to how these algorithms are developed or how high their error rate is. </w:t>
      </w:r>
    </w:p>
    <w:p w14:paraId="6793159E" w14:textId="6923B4A4" w:rsidR="00DF3D92" w:rsidRPr="00574FE4" w:rsidRDefault="00DF3D92" w:rsidP="00DF3D92">
      <w:pPr>
        <w:spacing w:line="480" w:lineRule="auto"/>
        <w:ind w:firstLine="720"/>
        <w:jc w:val="both"/>
      </w:pPr>
      <w:r>
        <w:t xml:space="preserve">Without any of </w:t>
      </w:r>
      <w:r w:rsidR="008F2875">
        <w:t>this</w:t>
      </w:r>
      <w:r>
        <w:t xml:space="preserve"> critical information, [</w:t>
      </w:r>
      <w:r w:rsidRPr="00B35FA5">
        <w:rPr>
          <w:highlight w:val="yellow"/>
        </w:rPr>
        <w:t>CLIENT</w:t>
      </w:r>
      <w:r>
        <w:t xml:space="preserve">] is unable to understand the Flock data offered against </w:t>
      </w:r>
      <w:r w:rsidRPr="00574FE4">
        <w:rPr>
          <w:highlight w:val="yellow"/>
        </w:rPr>
        <w:t>him/her/them</w:t>
      </w:r>
      <w:r>
        <w:t>, how the Flock system produced that data, or how unreliable it truly is. As a result, [</w:t>
      </w:r>
      <w:r w:rsidRPr="00B35FA5">
        <w:rPr>
          <w:highlight w:val="yellow"/>
        </w:rPr>
        <w:t>CLIENT</w:t>
      </w:r>
      <w:r>
        <w:t xml:space="preserve">] will be denied the right to fully confront and challenge this evidence, as </w:t>
      </w:r>
      <w:r w:rsidRPr="00574FE4">
        <w:rPr>
          <w:highlight w:val="yellow"/>
        </w:rPr>
        <w:t>his/her/their</w:t>
      </w:r>
      <w:r>
        <w:t xml:space="preserve"> constitutional rights guarantee. </w:t>
      </w:r>
    </w:p>
    <w:p w14:paraId="356D75B1" w14:textId="0F2C49E6" w:rsidR="00F93584" w:rsidRPr="00027BDE" w:rsidRDefault="00F93584" w:rsidP="00027BDE">
      <w:pPr>
        <w:pStyle w:val="ListParagraph"/>
        <w:keepNext/>
        <w:numPr>
          <w:ilvl w:val="0"/>
          <w:numId w:val="6"/>
        </w:numPr>
        <w:spacing w:after="240"/>
        <w:jc w:val="both"/>
        <w:rPr>
          <w:b/>
          <w:bCs/>
        </w:rPr>
      </w:pPr>
      <w:r w:rsidRPr="00027BDE">
        <w:rPr>
          <w:b/>
          <w:bCs/>
        </w:rPr>
        <w:lastRenderedPageBreak/>
        <w:t>DISCLOSURE OF THIS MATERIAL</w:t>
      </w:r>
      <w:r w:rsidR="002D4A62" w:rsidRPr="00027BDE">
        <w:rPr>
          <w:b/>
          <w:bCs/>
        </w:rPr>
        <w:t xml:space="preserve"> IS REQUIRED BY </w:t>
      </w:r>
      <w:r w:rsidR="00A069D0" w:rsidRPr="00027BDE">
        <w:rPr>
          <w:b/>
          <w:bCs/>
        </w:rPr>
        <w:t>COURT RULE</w:t>
      </w:r>
      <w:r w:rsidRPr="00027BDE">
        <w:rPr>
          <w:b/>
          <w:bCs/>
        </w:rPr>
        <w:t>.</w:t>
      </w:r>
    </w:p>
    <w:p w14:paraId="68AA5FAB" w14:textId="321174C9" w:rsidR="00550EC1" w:rsidRPr="00550EC1" w:rsidRDefault="002D4A62" w:rsidP="008E585D">
      <w:pPr>
        <w:keepNext/>
        <w:spacing w:line="480" w:lineRule="auto"/>
        <w:ind w:firstLine="720"/>
        <w:jc w:val="both"/>
      </w:pPr>
      <w:r>
        <w:t xml:space="preserve">Pursuant to Maryland Court Rule </w:t>
      </w:r>
      <w:r w:rsidR="005B4EB1">
        <w:t xml:space="preserve">4-262, the </w:t>
      </w:r>
      <w:r w:rsidR="008D6616">
        <w:t>P</w:t>
      </w:r>
      <w:r w:rsidR="005B4EB1">
        <w:t xml:space="preserve">rosecution </w:t>
      </w:r>
      <w:r w:rsidR="00C550CB">
        <w:t>has an affirmative</w:t>
      </w:r>
      <w:r w:rsidR="005B4EB1">
        <w:t xml:space="preserve"> obligation to locate and disclose the above </w:t>
      </w:r>
      <w:r w:rsidR="00993A7B">
        <w:t xml:space="preserve">requested </w:t>
      </w:r>
      <w:r w:rsidR="008E585D">
        <w:t>information about Flock</w:t>
      </w:r>
      <w:r w:rsidR="001C6AC3">
        <w:t>’s</w:t>
      </w:r>
      <w:r w:rsidR="008E585D">
        <w:t xml:space="preserve"> functionality, operation, and error rates</w:t>
      </w:r>
      <w:r w:rsidR="005B4EB1">
        <w:t>.</w:t>
      </w:r>
      <w:r w:rsidR="00C550CB">
        <w:t xml:space="preserve"> Rule 4-262(d) outlines the </w:t>
      </w:r>
      <w:r w:rsidR="008D6616">
        <w:t>Prosecution</w:t>
      </w:r>
      <w:r w:rsidR="00C550CB">
        <w:t>’s disclosure obligation which includes</w:t>
      </w:r>
      <w:r w:rsidR="008E585D">
        <w:t xml:space="preserve"> “</w:t>
      </w:r>
      <w:r w:rsidR="008E585D" w:rsidRPr="008E585D">
        <w:t>All material or information in any form, whether or not admissible, that tends to exculpate the defendant or negate or mitigate the defendant's guilt or punishment as to the offense charged</w:t>
      </w:r>
      <w:r w:rsidR="008E585D">
        <w:t xml:space="preserve"> . . . [or] </w:t>
      </w:r>
      <w:r w:rsidR="008E585D" w:rsidRPr="008E585D">
        <w:t xml:space="preserve">that tends to impeach a </w:t>
      </w:r>
      <w:proofErr w:type="gramStart"/>
      <w:r w:rsidR="008E585D" w:rsidRPr="008E585D">
        <w:t>State's</w:t>
      </w:r>
      <w:proofErr w:type="gramEnd"/>
      <w:r w:rsidR="008E585D" w:rsidRPr="008E585D">
        <w:t xml:space="preserve"> witness</w:t>
      </w:r>
      <w:r w:rsidR="008E585D">
        <w:t xml:space="preserve">.” </w:t>
      </w:r>
      <w:r w:rsidR="008E585D" w:rsidRPr="00CA5785">
        <w:rPr>
          <w:smallCaps/>
        </w:rPr>
        <w:t>Md. R.</w:t>
      </w:r>
      <w:r w:rsidR="008E585D">
        <w:t xml:space="preserve"> 4-262(d</w:t>
      </w:r>
      <w:proofErr w:type="gramStart"/>
      <w:r w:rsidR="008E585D">
        <w:t>)(</w:t>
      </w:r>
      <w:proofErr w:type="gramEnd"/>
      <w:r w:rsidR="008E585D">
        <w:t xml:space="preserve">1-2). </w:t>
      </w:r>
      <w:r w:rsidR="00550EC1">
        <w:t xml:space="preserve">These requirements </w:t>
      </w:r>
      <w:r w:rsidR="00F35DA2">
        <w:t xml:space="preserve">are broader than the State’s obligations under </w:t>
      </w:r>
      <w:r w:rsidR="00811953">
        <w:t>federal</w:t>
      </w:r>
      <w:r w:rsidR="005F0237">
        <w:t xml:space="preserve"> constitutional </w:t>
      </w:r>
      <w:r w:rsidR="00F35DA2">
        <w:t>law</w:t>
      </w:r>
      <w:r w:rsidR="00550EC1">
        <w:t xml:space="preserve">. </w:t>
      </w:r>
      <w:r w:rsidR="005F0237" w:rsidRPr="005F0237">
        <w:rPr>
          <w:i/>
          <w:iCs/>
        </w:rPr>
        <w:t xml:space="preserve">See </w:t>
      </w:r>
      <w:r w:rsidR="005F0237">
        <w:rPr>
          <w:i/>
          <w:iCs/>
        </w:rPr>
        <w:t>i</w:t>
      </w:r>
      <w:r w:rsidR="005F0237" w:rsidRPr="005F0237">
        <w:rPr>
          <w:i/>
          <w:iCs/>
        </w:rPr>
        <w:t>d.</w:t>
      </w:r>
      <w:r w:rsidR="005F0237">
        <w:t xml:space="preserve"> (including cross references to </w:t>
      </w:r>
      <w:r w:rsidR="005F0237" w:rsidRPr="005F0237">
        <w:rPr>
          <w:i/>
          <w:iCs/>
        </w:rPr>
        <w:t>Brad</w:t>
      </w:r>
      <w:r w:rsidR="005F0237">
        <w:rPr>
          <w:i/>
          <w:iCs/>
        </w:rPr>
        <w:t>y v. Maryland</w:t>
      </w:r>
      <w:r w:rsidR="005F0237">
        <w:t>, 373 U.S. 83 (1963</w:t>
      </w:r>
      <w:r w:rsidR="001C6AC3">
        <w:t xml:space="preserve">); </w:t>
      </w:r>
      <w:r w:rsidR="005F0237" w:rsidRPr="005F0237">
        <w:rPr>
          <w:i/>
          <w:iCs/>
        </w:rPr>
        <w:t>Giglio</w:t>
      </w:r>
      <w:r w:rsidR="005F0237">
        <w:t xml:space="preserve"> </w:t>
      </w:r>
      <w:r w:rsidR="005F0237" w:rsidRPr="005F0237">
        <w:rPr>
          <w:i/>
          <w:iCs/>
        </w:rPr>
        <w:t>v. United States</w:t>
      </w:r>
      <w:r w:rsidR="005F0237">
        <w:t>, 405 U.S. 150 (1972</w:t>
      </w:r>
      <w:r w:rsidR="001C6AC3">
        <w:t xml:space="preserve">); </w:t>
      </w:r>
      <w:r w:rsidR="005F0237" w:rsidRPr="005F0237">
        <w:rPr>
          <w:i/>
          <w:iCs/>
        </w:rPr>
        <w:t>Kyles v. Whitley</w:t>
      </w:r>
      <w:r w:rsidR="005F0237">
        <w:t>,</w:t>
      </w:r>
      <w:r w:rsidR="005F0237" w:rsidRPr="005F0237">
        <w:t xml:space="preserve"> </w:t>
      </w:r>
      <w:r w:rsidR="005F0237">
        <w:t>514 U.S. 419 (1995</w:t>
      </w:r>
      <w:r w:rsidR="001C6AC3">
        <w:t xml:space="preserve">); </w:t>
      </w:r>
      <w:r w:rsidR="005F0237">
        <w:t xml:space="preserve">and </w:t>
      </w:r>
      <w:r w:rsidR="005F0237">
        <w:rPr>
          <w:i/>
          <w:iCs/>
        </w:rPr>
        <w:t>United States</w:t>
      </w:r>
      <w:r w:rsidR="005F0237" w:rsidRPr="005F0237">
        <w:rPr>
          <w:i/>
          <w:iCs/>
        </w:rPr>
        <w:t xml:space="preserve"> v. Agurs</w:t>
      </w:r>
      <w:r w:rsidR="005F0237" w:rsidRPr="005F0237">
        <w:t>, 427 U.S. 97 (1976)</w:t>
      </w:r>
      <w:r w:rsidR="005F0237">
        <w:t xml:space="preserve">). </w:t>
      </w:r>
    </w:p>
    <w:p w14:paraId="4DD6EDF3" w14:textId="11E2E250" w:rsidR="008E585D" w:rsidRDefault="008E585D" w:rsidP="008E585D">
      <w:pPr>
        <w:keepNext/>
        <w:spacing w:line="480" w:lineRule="auto"/>
        <w:ind w:firstLine="720"/>
        <w:jc w:val="both"/>
      </w:pPr>
      <w:r>
        <w:t xml:space="preserve">Rule 4-262 also specifically requires the disclosure of any use of facial recognition technology, an artificial intelligence technology </w:t>
      </w:r>
      <w:proofErr w:type="gramStart"/>
      <w:r>
        <w:t>similar to</w:t>
      </w:r>
      <w:proofErr w:type="gramEnd"/>
      <w:r>
        <w:t xml:space="preserve"> Flock cameras. </w:t>
      </w:r>
      <w:r w:rsidRPr="00CA5785">
        <w:rPr>
          <w:smallCaps/>
        </w:rPr>
        <w:t>Md. R.</w:t>
      </w:r>
      <w:r>
        <w:t xml:space="preserve"> 4-262(d)(6). The Prosecution is also obligated to provide </w:t>
      </w:r>
      <w:r w:rsidR="00FE7635">
        <w:t>[</w:t>
      </w:r>
      <w:r w:rsidR="00FE7635" w:rsidRPr="00B35FA5">
        <w:rPr>
          <w:highlight w:val="yellow"/>
        </w:rPr>
        <w:t>CLIENT</w:t>
      </w:r>
      <w:r w:rsidR="00FE7635">
        <w:t>]</w:t>
      </w:r>
      <w:r w:rsidR="00BD1CAA">
        <w:t xml:space="preserve"> </w:t>
      </w:r>
      <w:r w:rsidR="001C6AC3">
        <w:t xml:space="preserve">with </w:t>
      </w:r>
      <w:r>
        <w:t>“[t]</w:t>
      </w:r>
      <w:r w:rsidRPr="008E585D">
        <w:t>he opportunity to inspect</w:t>
      </w:r>
      <w:r>
        <w:t xml:space="preserve">, copy, and photograph” evidence to be used at trial, including computer generated evidence pursuant to Md. Rule 2-504.3. </w:t>
      </w:r>
      <w:r w:rsidRPr="00CA5785">
        <w:rPr>
          <w:smallCaps/>
        </w:rPr>
        <w:t>Md. R.</w:t>
      </w:r>
      <w:r>
        <w:t xml:space="preserve"> 4-262(d)(8). Rule 2-504.3 includes “</w:t>
      </w:r>
      <w:r w:rsidRPr="008E585D">
        <w:t>a conclusion in aural, visual, or other sensory form formulated by a computer program or model</w:t>
      </w:r>
      <w:r>
        <w:t xml:space="preserve">” within this definition. </w:t>
      </w:r>
      <w:r w:rsidR="005F0237" w:rsidRPr="005F0237">
        <w:rPr>
          <w:i/>
          <w:iCs/>
        </w:rPr>
        <w:t>Id.</w:t>
      </w:r>
    </w:p>
    <w:p w14:paraId="74AD4E60" w14:textId="646DFBC2" w:rsidR="00CA5785" w:rsidRPr="002D4A62" w:rsidRDefault="007D0DAF" w:rsidP="00CA5785">
      <w:pPr>
        <w:spacing w:after="240" w:line="480" w:lineRule="auto"/>
        <w:ind w:firstLine="720"/>
        <w:jc w:val="both"/>
      </w:pPr>
      <w:r>
        <w:t>T</w:t>
      </w:r>
      <w:r w:rsidR="008E585D">
        <w:t xml:space="preserve">he Prosecution is obligated to disclose this information under multiple </w:t>
      </w:r>
      <w:r w:rsidR="005F0237">
        <w:t>provisions</w:t>
      </w:r>
      <w:r w:rsidR="008E585D">
        <w:t xml:space="preserve"> within </w:t>
      </w:r>
      <w:r w:rsidR="00A069D0">
        <w:t xml:space="preserve">the </w:t>
      </w:r>
      <w:r>
        <w:t xml:space="preserve">Maryland </w:t>
      </w:r>
      <w:r w:rsidR="0070402E">
        <w:t>R</w:t>
      </w:r>
      <w:r w:rsidR="00A069D0">
        <w:t>ules</w:t>
      </w:r>
      <w:r w:rsidR="008E585D">
        <w:t xml:space="preserve">. </w:t>
      </w:r>
      <w:r w:rsidR="00FE7635">
        <w:t>[</w:t>
      </w:r>
      <w:r w:rsidR="00FE7635" w:rsidRPr="00B35FA5">
        <w:rPr>
          <w:highlight w:val="yellow"/>
        </w:rPr>
        <w:t>CLIENT</w:t>
      </w:r>
      <w:r w:rsidR="00FE7635">
        <w:t>]</w:t>
      </w:r>
      <w:r w:rsidR="00550EC1">
        <w:t xml:space="preserve"> is entitled to this discovery because it qualifies not only as computer-generated evidence, </w:t>
      </w:r>
      <w:r w:rsidR="0070402E" w:rsidRPr="00C323F3">
        <w:rPr>
          <w:smallCaps/>
        </w:rPr>
        <w:t xml:space="preserve">Md. </w:t>
      </w:r>
      <w:r w:rsidR="0070402E">
        <w:rPr>
          <w:smallCaps/>
        </w:rPr>
        <w:t>R.</w:t>
      </w:r>
      <w:r w:rsidR="0070402E">
        <w:t xml:space="preserve"> </w:t>
      </w:r>
      <w:r w:rsidR="00550EC1">
        <w:t xml:space="preserve">4-262(d)(8), and </w:t>
      </w:r>
      <w:r w:rsidR="00FE7635">
        <w:t xml:space="preserve">is </w:t>
      </w:r>
      <w:proofErr w:type="gramStart"/>
      <w:r w:rsidR="00550EC1">
        <w:t>similar to</w:t>
      </w:r>
      <w:proofErr w:type="gramEnd"/>
      <w:r w:rsidR="00550EC1">
        <w:t xml:space="preserve"> facial recognition technology, </w:t>
      </w:r>
      <w:r w:rsidR="0070402E" w:rsidRPr="00C323F3">
        <w:rPr>
          <w:smallCaps/>
        </w:rPr>
        <w:t>Md. R.</w:t>
      </w:r>
      <w:r w:rsidR="0070402E">
        <w:t xml:space="preserve"> </w:t>
      </w:r>
      <w:r w:rsidR="00550EC1">
        <w:t xml:space="preserve">4-262(d)(6), but because it is </w:t>
      </w:r>
      <w:r w:rsidR="00FE7635">
        <w:t>both</w:t>
      </w:r>
      <w:r w:rsidR="00550EC1">
        <w:t xml:space="preserve"> </w:t>
      </w:r>
      <w:r w:rsidR="00FE7635">
        <w:t>potential</w:t>
      </w:r>
      <w:r w:rsidR="00F35DA2">
        <w:t>ly</w:t>
      </w:r>
      <w:r w:rsidR="00FE7635">
        <w:t xml:space="preserve"> </w:t>
      </w:r>
      <w:r w:rsidR="00550EC1">
        <w:t xml:space="preserve">exculpatory and impeachment evidence. </w:t>
      </w:r>
    </w:p>
    <w:p w14:paraId="7A3D234A" w14:textId="77777777" w:rsidR="00CA5785" w:rsidRDefault="00CA5785" w:rsidP="00CA5785">
      <w:pPr>
        <w:pStyle w:val="ListParagraph"/>
        <w:keepNext/>
        <w:numPr>
          <w:ilvl w:val="0"/>
          <w:numId w:val="6"/>
        </w:numPr>
        <w:spacing w:after="240" w:line="360" w:lineRule="auto"/>
        <w:jc w:val="both"/>
        <w:rPr>
          <w:b/>
          <w:bCs/>
        </w:rPr>
      </w:pPr>
      <w:r>
        <w:rPr>
          <w:b/>
          <w:bCs/>
        </w:rPr>
        <w:lastRenderedPageBreak/>
        <w:t>DUE PROCESS REQUIRES DISCLOSURE OF THIS EVIDENCE, BECAUSE IT IS EXCULPATORY AND IMPEACHMENT MATERIAL.</w:t>
      </w:r>
    </w:p>
    <w:p w14:paraId="40796F15" w14:textId="0D50B742" w:rsidR="00CA5785" w:rsidRDefault="00CA5785" w:rsidP="00CA5785">
      <w:pPr>
        <w:spacing w:line="480" w:lineRule="auto"/>
        <w:ind w:firstLine="720"/>
        <w:jc w:val="both"/>
      </w:pPr>
      <w:r>
        <w:t>Pursuant to [</w:t>
      </w:r>
      <w:r w:rsidRPr="00B35FA5">
        <w:rPr>
          <w:shd w:val="clear" w:color="auto" w:fill="FFFF00"/>
        </w:rPr>
        <w:t>CLIENT’S</w:t>
      </w:r>
      <w:r>
        <w:t>] Due Process right to a fair trial under the United States Constitution and</w:t>
      </w:r>
      <w:r w:rsidR="00734C7D">
        <w:t xml:space="preserve"> Article 24 in the Maryland Constitution’s Declaration of Rights</w:t>
      </w:r>
      <w:r>
        <w:t>, [</w:t>
      </w:r>
      <w:r w:rsidRPr="00B35FA5">
        <w:rPr>
          <w:shd w:val="clear" w:color="auto" w:fill="FFFF00"/>
        </w:rPr>
        <w:t>CLIENT</w:t>
      </w:r>
      <w:r>
        <w:t xml:space="preserve">] is constitutionally entitled to all information that is “favorable to the accused.” </w:t>
      </w:r>
      <w:r w:rsidRPr="002B4471">
        <w:rPr>
          <w:i/>
          <w:iCs/>
        </w:rPr>
        <w:t>Brady</w:t>
      </w:r>
      <w:r>
        <w:t>, 373 U.S. at 87;</w:t>
      </w:r>
      <w:r>
        <w:rPr>
          <w:i/>
          <w:iCs/>
        </w:rPr>
        <w:t xml:space="preserve"> </w:t>
      </w:r>
      <w:r w:rsidRPr="00CA5785">
        <w:rPr>
          <w:i/>
          <w:iCs/>
        </w:rPr>
        <w:t>Ware v. State</w:t>
      </w:r>
      <w:r>
        <w:t xml:space="preserve">, 348 Md. 19, 37 (Md. 1997). This includes impeachment evidence as well as information probative to innocence or guilt. </w:t>
      </w:r>
      <w:r w:rsidRPr="0031178B">
        <w:rPr>
          <w:i/>
          <w:iCs/>
        </w:rPr>
        <w:t>Giglio</w:t>
      </w:r>
      <w:r>
        <w:t xml:space="preserve">, 405 U.S. at 154; </w:t>
      </w:r>
      <w:r w:rsidRPr="00CA5785">
        <w:rPr>
          <w:i/>
          <w:iCs/>
        </w:rPr>
        <w:t>Ware</w:t>
      </w:r>
      <w:r>
        <w:t xml:space="preserve">, 348 Md. at 38; </w:t>
      </w:r>
      <w:r w:rsidRPr="00B347C3">
        <w:rPr>
          <w:i/>
          <w:iCs/>
        </w:rPr>
        <w:t>see also</w:t>
      </w:r>
      <w:r>
        <w:t xml:space="preserve"> </w:t>
      </w:r>
      <w:r>
        <w:rPr>
          <w:i/>
          <w:iCs/>
        </w:rPr>
        <w:t>United States v. Kelly</w:t>
      </w:r>
      <w:r>
        <w:t xml:space="preserve">, 35 F.3d 929, 936 (4th Cir. 1994). The Prosecution is </w:t>
      </w:r>
      <w:r w:rsidRPr="00153DB4">
        <w:rPr>
          <w:i/>
          <w:iCs/>
        </w:rPr>
        <w:t>required</w:t>
      </w:r>
      <w:r>
        <w:t xml:space="preserve"> to </w:t>
      </w:r>
      <w:r w:rsidRPr="00153DB4">
        <w:rPr>
          <w:i/>
          <w:iCs/>
        </w:rPr>
        <w:t>locate and disclose</w:t>
      </w:r>
      <w:r>
        <w:t xml:space="preserve"> </w:t>
      </w:r>
      <w:proofErr w:type="gramStart"/>
      <w:r>
        <w:t>any and all</w:t>
      </w:r>
      <w:proofErr w:type="gramEnd"/>
      <w:r>
        <w:t xml:space="preserve"> such information. </w:t>
      </w:r>
      <w:r w:rsidRPr="00D73850">
        <w:rPr>
          <w:i/>
          <w:iCs/>
        </w:rPr>
        <w:t>Kyles</w:t>
      </w:r>
      <w:r>
        <w:t>, 514 U.S. at 437-38. Importantly, even if the information is inculpatory</w:t>
      </w:r>
      <w:r w:rsidR="00734C7D">
        <w:t>,</w:t>
      </w:r>
      <w:r>
        <w:t xml:space="preserve"> </w:t>
      </w:r>
      <w:r w:rsidRPr="00D73850">
        <w:rPr>
          <w:i/>
          <w:iCs/>
        </w:rPr>
        <w:t>Brady</w:t>
      </w:r>
      <w:r>
        <w:t xml:space="preserve"> requirements still apply in full force when the material could be used to impeach a witness. </w:t>
      </w:r>
      <w:r w:rsidRPr="00D73850">
        <w:rPr>
          <w:i/>
          <w:iCs/>
        </w:rPr>
        <w:t>Strickler v. Greene</w:t>
      </w:r>
      <w:r w:rsidRPr="00D73850">
        <w:t>, 527 U.S. 263, 282 n.</w:t>
      </w:r>
      <w:r>
        <w:t xml:space="preserve"> </w:t>
      </w:r>
      <w:r w:rsidRPr="00D73850">
        <w:t>21 (1999)</w:t>
      </w:r>
      <w:r>
        <w:t xml:space="preserve">. These duties are unwavering, and rest solely on the Prosecution. </w:t>
      </w:r>
    </w:p>
    <w:p w14:paraId="0DA75E16" w14:textId="77777777" w:rsidR="00CA5785" w:rsidRDefault="00CA5785" w:rsidP="00CA5785">
      <w:pPr>
        <w:spacing w:line="480" w:lineRule="auto"/>
        <w:ind w:firstLine="720"/>
        <w:jc w:val="both"/>
      </w:pPr>
      <w:r>
        <w:t xml:space="preserve">As a result, the “individual prosecutor” has a duty to “learn of any favorable evidence” known to the Prosecution or any agents acting on the government’s behalf, even if the prosecutor is initially unaware of the information. </w:t>
      </w:r>
      <w:r w:rsidRPr="00D73850">
        <w:rPr>
          <w:i/>
          <w:iCs/>
        </w:rPr>
        <w:t>Kyles</w:t>
      </w:r>
      <w:r>
        <w:t xml:space="preserve">, 514 U.S. at 437-38; </w:t>
      </w:r>
      <w:r w:rsidRPr="00153DB4">
        <w:rPr>
          <w:i/>
          <w:iCs/>
        </w:rPr>
        <w:t>Monrow v. Angelone</w:t>
      </w:r>
      <w:r>
        <w:t xml:space="preserve">, 323 F.3d 286, 299 (4th Cir. 2003); </w:t>
      </w:r>
      <w:r w:rsidRPr="00153DB4">
        <w:rPr>
          <w:i/>
          <w:iCs/>
        </w:rPr>
        <w:t>State v. Williams</w:t>
      </w:r>
      <w:r>
        <w:t xml:space="preserve">, 392 Md. 194, 211 (Md. 2006). </w:t>
      </w:r>
      <w:r w:rsidRPr="00153DB4">
        <w:rPr>
          <w:i/>
          <w:iCs/>
        </w:rPr>
        <w:t>Brady</w:t>
      </w:r>
      <w:r>
        <w:t>/</w:t>
      </w:r>
      <w:r w:rsidRPr="00153DB4">
        <w:rPr>
          <w:i/>
          <w:iCs/>
        </w:rPr>
        <w:t>Giglio</w:t>
      </w:r>
      <w:r>
        <w:t xml:space="preserve"> protections thus cast a wide net, both in terms of the many actors who fall within the authority of the prosecution and the range of information considered “favorable to the accused.” </w:t>
      </w:r>
      <w:r w:rsidRPr="00153DB4">
        <w:rPr>
          <w:i/>
          <w:iCs/>
        </w:rPr>
        <w:t>Brady</w:t>
      </w:r>
      <w:r>
        <w:t xml:space="preserve">, 373 U.S. at 87. The government is required to comply with these constitutional mandates regardless of whether the accused makes any requests for such material. </w:t>
      </w:r>
      <w:r w:rsidRPr="00153DB4">
        <w:rPr>
          <w:i/>
          <w:iCs/>
        </w:rPr>
        <w:t>Agurs</w:t>
      </w:r>
      <w:r>
        <w:t xml:space="preserve">, 427 U.S. at 107. Failure to do so, whether in good or bad faith, constitutes an “inescapable” violation of </w:t>
      </w:r>
      <w:r w:rsidRPr="00094429">
        <w:rPr>
          <w:i/>
          <w:iCs/>
        </w:rPr>
        <w:t>Brady</w:t>
      </w:r>
      <w:r>
        <w:t xml:space="preserve">’s constitutional holding. </w:t>
      </w:r>
      <w:r>
        <w:rPr>
          <w:i/>
          <w:iCs/>
        </w:rPr>
        <w:t>Kyles</w:t>
      </w:r>
      <w:r>
        <w:t xml:space="preserve">, 514 U.S. at 437-38. </w:t>
      </w:r>
    </w:p>
    <w:p w14:paraId="68D12338" w14:textId="6C9313F3" w:rsidR="00CA5785" w:rsidRDefault="00CA5785" w:rsidP="00CA5785">
      <w:pPr>
        <w:spacing w:line="480" w:lineRule="auto"/>
        <w:ind w:firstLine="720"/>
        <w:jc w:val="both"/>
      </w:pPr>
      <w:r>
        <w:t xml:space="preserve">Information about Flock technology’s functionality, operations, and maintenance fall within the ambit of evidence “favorable to the accused” and </w:t>
      </w:r>
      <w:r w:rsidR="00E61F55">
        <w:t>constitute impeachment</w:t>
      </w:r>
      <w:r>
        <w:t xml:space="preserve"> material. </w:t>
      </w:r>
      <w:r w:rsidRPr="00153DB4">
        <w:rPr>
          <w:i/>
          <w:iCs/>
        </w:rPr>
        <w:lastRenderedPageBreak/>
        <w:t>Brady</w:t>
      </w:r>
      <w:r>
        <w:t xml:space="preserve">, 373 U.S. at 87; </w:t>
      </w:r>
      <w:r w:rsidRPr="00CA5785">
        <w:rPr>
          <w:i/>
          <w:iCs/>
        </w:rPr>
        <w:t>Ware</w:t>
      </w:r>
      <w:r>
        <w:t>, 348 Md. at 37. Information about how Flock works, how it was used in this case, and whether it is reliable directly implicates the credibility of the government’s case against [</w:t>
      </w:r>
      <w:r w:rsidRPr="00DF3D92">
        <w:rPr>
          <w:highlight w:val="yellow"/>
        </w:rPr>
        <w:t>CLIENT</w:t>
      </w:r>
      <w:r>
        <w:t xml:space="preserve">].  The </w:t>
      </w:r>
      <w:r w:rsidR="00E61F55">
        <w:t>P</w:t>
      </w:r>
      <w:r>
        <w:t xml:space="preserve">rosecution is required to obtain the requested information from its agents as it is both potentially exculpatory and impeachment material. </w:t>
      </w:r>
      <w:r w:rsidRPr="002B4471">
        <w:rPr>
          <w:i/>
          <w:iCs/>
        </w:rPr>
        <w:t>Brady</w:t>
      </w:r>
      <w:r>
        <w:t>, 373 U.S. at 87;</w:t>
      </w:r>
      <w:r w:rsidRPr="002B4471">
        <w:rPr>
          <w:i/>
          <w:iCs/>
        </w:rPr>
        <w:t xml:space="preserve"> Giglio</w:t>
      </w:r>
      <w:r>
        <w:t xml:space="preserve">, 405 U.S. at 154. The information requested is quintessential </w:t>
      </w:r>
      <w:r w:rsidRPr="00B35FA5">
        <w:rPr>
          <w:i/>
          <w:iCs/>
        </w:rPr>
        <w:t>Brady/Giglio</w:t>
      </w:r>
      <w:r>
        <w:t xml:space="preserve"> material. </w:t>
      </w:r>
    </w:p>
    <w:p w14:paraId="0DB891AE" w14:textId="77777777" w:rsidR="0070402E" w:rsidRDefault="00CA5785" w:rsidP="00CA5785">
      <w:pPr>
        <w:spacing w:line="480" w:lineRule="auto"/>
        <w:ind w:firstLine="720"/>
        <w:jc w:val="both"/>
      </w:pPr>
      <w:r>
        <w:t xml:space="preserve">Courts in other jurisdictions have recognized this necessary disclosure when law enforcement presents other forms of artificial intelligence technology, such as facial recognition and ShotSpotter. </w:t>
      </w:r>
      <w:r w:rsidRPr="00DF3D92">
        <w:rPr>
          <w:i/>
          <w:iCs/>
        </w:rPr>
        <w:t>State v. Arteaga</w:t>
      </w:r>
      <w:r>
        <w:t xml:space="preserve">, 476 N.J. Super. 36, 61-62 (N.J. 2023) (holding that the defense’s request for the “identity, design, specifications, and operation” of  the applied facial recognition technology must be disclosed because this information has “a direct link to testing FRT’s reliability and bear on the defendant’s guilt or innocence”); </w:t>
      </w:r>
      <w:r w:rsidRPr="00DF3D92">
        <w:rPr>
          <w:i/>
          <w:iCs/>
        </w:rPr>
        <w:t>People v. Jones</w:t>
      </w:r>
      <w:r>
        <w:t xml:space="preserve">, 220 N.E.3d 475, 487 (Ill. App. 2023) (holding that Mr. Jones was entitled to the information ShotSpotter communicated to police, whether the alert was reliable, qualifications of the staff who analyzed the acoustic pulse, policies and procedures analyst(s) followed in evaluating the pulse, logs reflecting the calibration of the sensors that detected the pulse, records reflecting reclassifications of acoustic pulses in Chicago, and studies regarding the performance of the ShotSpotter system). </w:t>
      </w:r>
    </w:p>
    <w:p w14:paraId="6AFC275F" w14:textId="7DA38BE9" w:rsidR="00CA5785" w:rsidRPr="00B27410" w:rsidRDefault="00CA5785" w:rsidP="0070402E">
      <w:pPr>
        <w:spacing w:line="480" w:lineRule="auto"/>
        <w:ind w:firstLine="720"/>
        <w:jc w:val="both"/>
      </w:pPr>
      <w:r>
        <w:t>Because novel technology is untested and unverified, there is a particular need for [</w:t>
      </w:r>
      <w:r w:rsidRPr="00CA5785">
        <w:rPr>
          <w:highlight w:val="yellow"/>
        </w:rPr>
        <w:t>CLIENT</w:t>
      </w:r>
      <w:r>
        <w:t xml:space="preserve">] to have access to otherwise inaccessible information about its function and design. This includes access to information about human operators or technicians, policies and procedures for using this burgeoning technology, errors rates, and </w:t>
      </w:r>
      <w:r w:rsidR="0070402E">
        <w:t xml:space="preserve">activity </w:t>
      </w:r>
      <w:r>
        <w:t>logs. Without such disclosures, [</w:t>
      </w:r>
      <w:r w:rsidRPr="00DF3D92">
        <w:rPr>
          <w:highlight w:val="yellow"/>
        </w:rPr>
        <w:t>CLIENT</w:t>
      </w:r>
      <w:r>
        <w:t xml:space="preserve">] will be unequipped to challenge likely law enforcement testimony about the reliability and operation of this technology. </w:t>
      </w:r>
      <w:r>
        <w:rPr>
          <w:i/>
          <w:iCs/>
        </w:rPr>
        <w:t xml:space="preserve">Jones, </w:t>
      </w:r>
      <w:r>
        <w:t>220 N.E.3d at 487.</w:t>
      </w:r>
      <w:r w:rsidR="0070402E">
        <w:t xml:space="preserve"> </w:t>
      </w:r>
      <w:r w:rsidR="00E22B58">
        <w:t>L</w:t>
      </w:r>
      <w:r w:rsidR="0070402E">
        <w:t xml:space="preserve">aw enforcement </w:t>
      </w:r>
      <w:r w:rsidR="00E22B58">
        <w:t>is</w:t>
      </w:r>
      <w:r w:rsidR="0070402E">
        <w:t xml:space="preserve"> expected to testify that Flock technology is trustworthy,</w:t>
      </w:r>
      <w:r w:rsidR="00E22B58">
        <w:t xml:space="preserve"> yet the</w:t>
      </w:r>
      <w:r w:rsidR="0070402E">
        <w:t xml:space="preserve"> </w:t>
      </w:r>
      <w:r>
        <w:t xml:space="preserve">limited publicly available information about Flock </w:t>
      </w:r>
      <w:r w:rsidR="0070402E">
        <w:lastRenderedPageBreak/>
        <w:t xml:space="preserve">indicates </w:t>
      </w:r>
      <w:r>
        <w:t xml:space="preserve">serious issues with its ALPRs’ accuracy and reliability. </w:t>
      </w:r>
      <w:r w:rsidRPr="001F5B1C">
        <w:t xml:space="preserve">McCarthy, </w:t>
      </w:r>
      <w:r w:rsidRPr="001F5B1C">
        <w:rPr>
          <w:i/>
          <w:iCs/>
        </w:rPr>
        <w:t>Flock Study</w:t>
      </w:r>
      <w:r>
        <w:t xml:space="preserve">, </w:t>
      </w:r>
      <w:r w:rsidRPr="00CA4C5B">
        <w:rPr>
          <w:i/>
          <w:iCs/>
        </w:rPr>
        <w:t>supra</w:t>
      </w:r>
      <w:r>
        <w:t>.</w:t>
      </w:r>
      <w:r w:rsidRPr="001F5B1C">
        <w:t xml:space="preserve"> </w:t>
      </w:r>
      <w:r>
        <w:t xml:space="preserve">There is no publicly available information concerning the reliability of </w:t>
      </w:r>
      <w:r w:rsidRPr="008C48C2">
        <w:t>Vehicle Fingerprint®</w:t>
      </w:r>
      <w:r>
        <w:t xml:space="preserve"> or its later iterations. The requested discovery is in the sole possession of [</w:t>
      </w:r>
      <w:r w:rsidRPr="00B35FA5">
        <w:rPr>
          <w:shd w:val="clear" w:color="auto" w:fill="FFFF00"/>
        </w:rPr>
        <w:t>LAW ENFORCEMENT AGENCY</w:t>
      </w:r>
      <w:r>
        <w:t xml:space="preserve">] and Flock. Without this court’s intervention, </w:t>
      </w:r>
      <w:r w:rsidRPr="00041E87">
        <w:t>[</w:t>
      </w:r>
      <w:r w:rsidRPr="00B35FA5">
        <w:rPr>
          <w:shd w:val="clear" w:color="auto" w:fill="FFFF00"/>
        </w:rPr>
        <w:t>CLIENT</w:t>
      </w:r>
      <w:r w:rsidRPr="00041E87">
        <w:t xml:space="preserve">] </w:t>
      </w:r>
      <w:r>
        <w:t>will be unable</w:t>
      </w:r>
      <w:r w:rsidRPr="00041E87">
        <w:t xml:space="preserve"> to access </w:t>
      </w:r>
      <w:r>
        <w:t xml:space="preserve">and challenge the evidence presented against </w:t>
      </w:r>
      <w:r w:rsidRPr="00DF3D92">
        <w:rPr>
          <w:highlight w:val="yellow"/>
        </w:rPr>
        <w:t>him/her/them</w:t>
      </w:r>
      <w:r w:rsidRPr="00041E87">
        <w:t xml:space="preserve">. </w:t>
      </w:r>
    </w:p>
    <w:p w14:paraId="504B1AC8" w14:textId="096F5567" w:rsidR="00570086" w:rsidRPr="00027BDE" w:rsidRDefault="00FE7635" w:rsidP="00027BDE">
      <w:pPr>
        <w:pStyle w:val="ListParagraph"/>
        <w:keepNext/>
        <w:numPr>
          <w:ilvl w:val="0"/>
          <w:numId w:val="6"/>
        </w:numPr>
        <w:spacing w:after="240"/>
        <w:jc w:val="both"/>
        <w:rPr>
          <w:b/>
          <w:bCs/>
        </w:rPr>
      </w:pPr>
      <w:r w:rsidRPr="00027BDE">
        <w:rPr>
          <w:b/>
          <w:bCs/>
        </w:rPr>
        <w:t>[</w:t>
      </w:r>
      <w:r w:rsidRPr="00027BDE">
        <w:rPr>
          <w:b/>
          <w:bCs/>
          <w:highlight w:val="yellow"/>
        </w:rPr>
        <w:t>CLIENT</w:t>
      </w:r>
      <w:r w:rsidRPr="00027BDE">
        <w:rPr>
          <w:b/>
          <w:bCs/>
        </w:rPr>
        <w:t>]</w:t>
      </w:r>
      <w:r w:rsidR="00F86B7F">
        <w:rPr>
          <w:b/>
          <w:bCs/>
        </w:rPr>
        <w:t xml:space="preserve">’S CONSTITUTIONAL RIGHTS TO CONFRONT THE WITNESSES AGAINST </w:t>
      </w:r>
      <w:r w:rsidR="00F86B7F" w:rsidRPr="00CA5785">
        <w:rPr>
          <w:b/>
          <w:bCs/>
          <w:highlight w:val="yellow"/>
        </w:rPr>
        <w:t>HIM/HER/THEM</w:t>
      </w:r>
      <w:r w:rsidR="00F86B7F">
        <w:rPr>
          <w:b/>
          <w:bCs/>
        </w:rPr>
        <w:t xml:space="preserve"> AND TO PRESENT A DEFENSE ENTITLE </w:t>
      </w:r>
      <w:r w:rsidR="00F86B7F" w:rsidRPr="00CA5785">
        <w:rPr>
          <w:b/>
          <w:bCs/>
          <w:highlight w:val="yellow"/>
        </w:rPr>
        <w:t>HIM/HER/THEM</w:t>
      </w:r>
      <w:r w:rsidR="00F86B7F">
        <w:rPr>
          <w:b/>
          <w:bCs/>
        </w:rPr>
        <w:t xml:space="preserve"> TO THIS INFORMATION.</w:t>
      </w:r>
    </w:p>
    <w:p w14:paraId="0640ECA5" w14:textId="4A7EB3AD" w:rsidR="00864F51" w:rsidRDefault="00550EC1" w:rsidP="00550EC1">
      <w:pPr>
        <w:spacing w:line="480" w:lineRule="auto"/>
        <w:ind w:firstLine="720"/>
        <w:jc w:val="both"/>
      </w:pPr>
      <w:r>
        <w:t xml:space="preserve">As </w:t>
      </w:r>
      <w:r w:rsidR="00CA5785">
        <w:t>the Supreme Court of Maryland</w:t>
      </w:r>
      <w:r w:rsidR="00A069D0">
        <w:t xml:space="preserve"> </w:t>
      </w:r>
      <w:r>
        <w:t xml:space="preserve">recognized </w:t>
      </w:r>
      <w:r w:rsidR="00CA5785">
        <w:t>in</w:t>
      </w:r>
      <w:r>
        <w:t xml:space="preserve"> promulgating </w:t>
      </w:r>
      <w:r w:rsidR="00CA5785">
        <w:t>its</w:t>
      </w:r>
      <w:r>
        <w:t xml:space="preserve"> discovery </w:t>
      </w:r>
      <w:r w:rsidR="00644A62">
        <w:t>R</w:t>
      </w:r>
      <w:r w:rsidR="00CA5785">
        <w:t>ules</w:t>
      </w:r>
      <w:r>
        <w:t xml:space="preserve">, </w:t>
      </w:r>
      <w:r w:rsidR="00FE7635">
        <w:t>[</w:t>
      </w:r>
      <w:r w:rsidR="00FE7635" w:rsidRPr="00B35FA5">
        <w:rPr>
          <w:highlight w:val="yellow"/>
        </w:rPr>
        <w:t>CLIENT’S</w:t>
      </w:r>
      <w:r w:rsidR="00FE7635">
        <w:t>]</w:t>
      </w:r>
      <w:r w:rsidR="008D6616">
        <w:t xml:space="preserve"> </w:t>
      </w:r>
      <w:r>
        <w:t xml:space="preserve">entitlement to this discovery is </w:t>
      </w:r>
      <w:r w:rsidR="00644A62">
        <w:t xml:space="preserve">required </w:t>
      </w:r>
      <w:r w:rsidR="00C323F3">
        <w:t>by</w:t>
      </w:r>
      <w:r w:rsidR="00644A62">
        <w:t xml:space="preserve"> </w:t>
      </w:r>
      <w:r>
        <w:t xml:space="preserve">constitutional </w:t>
      </w:r>
      <w:r w:rsidR="00644A62">
        <w:t>protections</w:t>
      </w:r>
      <w:r>
        <w:t xml:space="preserve">. </w:t>
      </w:r>
      <w:r w:rsidR="00864F51">
        <w:t>Pursuant to the Fifth</w:t>
      </w:r>
      <w:r w:rsidR="00D4009F">
        <w:t xml:space="preserve">, </w:t>
      </w:r>
      <w:r w:rsidR="00864F51">
        <w:t>Sixth</w:t>
      </w:r>
      <w:r w:rsidR="00D4009F">
        <w:t>, and Fourteenth</w:t>
      </w:r>
      <w:r w:rsidR="00864F51">
        <w:t xml:space="preserve"> Amendments to the United States Constitution, in addition to </w:t>
      </w:r>
      <w:r w:rsidR="00CA5785">
        <w:t xml:space="preserve">Article 21 of the Maryland </w:t>
      </w:r>
      <w:r w:rsidR="00734C7D">
        <w:t xml:space="preserve">Constitution’s </w:t>
      </w:r>
      <w:r w:rsidR="00CA5785">
        <w:t>Declaration of Rights</w:t>
      </w:r>
      <w:r w:rsidR="00864F51">
        <w:t xml:space="preserve">, </w:t>
      </w:r>
      <w:r w:rsidR="00FE7635">
        <w:t>[</w:t>
      </w:r>
      <w:r w:rsidR="00FE7635" w:rsidRPr="00B35FA5">
        <w:rPr>
          <w:highlight w:val="yellow"/>
        </w:rPr>
        <w:t>CLIENT</w:t>
      </w:r>
      <w:r w:rsidR="00FE7635">
        <w:t>]</w:t>
      </w:r>
      <w:r w:rsidR="008D6616">
        <w:t xml:space="preserve"> </w:t>
      </w:r>
      <w:r w:rsidR="00864F51">
        <w:t xml:space="preserve">has a constitutional right to </w:t>
      </w:r>
      <w:r w:rsidR="007C7F01">
        <w:t xml:space="preserve">a “meaningful opportunity to </w:t>
      </w:r>
      <w:r w:rsidR="00864F51">
        <w:t xml:space="preserve">present a </w:t>
      </w:r>
      <w:r w:rsidR="007C7F01">
        <w:t xml:space="preserve">complete </w:t>
      </w:r>
      <w:r w:rsidR="00864F51">
        <w:t>defense.</w:t>
      </w:r>
      <w:r w:rsidR="007C7F01">
        <w:t>”</w:t>
      </w:r>
      <w:r w:rsidR="00864F51">
        <w:t xml:space="preserve"> </w:t>
      </w:r>
      <w:r w:rsidR="007C7F01" w:rsidRPr="00864F51">
        <w:rPr>
          <w:i/>
          <w:iCs/>
        </w:rPr>
        <w:t>Crane v. Kentucky</w:t>
      </w:r>
      <w:r w:rsidR="007C7F01">
        <w:t xml:space="preserve">, 476 U.S. 683, 690 (1986) (quoting </w:t>
      </w:r>
      <w:r w:rsidR="007C7F01" w:rsidRPr="007C7F01">
        <w:rPr>
          <w:i/>
          <w:iCs/>
        </w:rPr>
        <w:t>California v. Trombetta</w:t>
      </w:r>
      <w:r w:rsidR="007C7F01">
        <w:t>, 467 U.S. 479, 486 (1984))</w:t>
      </w:r>
      <w:r w:rsidR="00CA5785">
        <w:t xml:space="preserve">; </w:t>
      </w:r>
      <w:r w:rsidR="00CA5785" w:rsidRPr="00644A62">
        <w:rPr>
          <w:i/>
          <w:iCs/>
        </w:rPr>
        <w:t>Vigna v. State</w:t>
      </w:r>
      <w:r w:rsidR="00CA5785">
        <w:t>, 470 Md. 418 (Md. 2020)</w:t>
      </w:r>
      <w:r w:rsidR="007C7F01">
        <w:t>.</w:t>
      </w:r>
    </w:p>
    <w:p w14:paraId="0BF3127F" w14:textId="4A12CFB9" w:rsidR="00DF3D92" w:rsidRDefault="00D4009F" w:rsidP="00DF3D92">
      <w:pPr>
        <w:spacing w:line="480" w:lineRule="auto"/>
        <w:jc w:val="both"/>
      </w:pPr>
      <w:r>
        <w:tab/>
      </w:r>
      <w:r w:rsidR="0070402E">
        <w:t xml:space="preserve">These protections extend beyond exculpatory or impeachment evidence. </w:t>
      </w:r>
      <w:r w:rsidR="00FE7635">
        <w:t>[</w:t>
      </w:r>
      <w:r w:rsidR="00FE7635" w:rsidRPr="00B35FA5">
        <w:rPr>
          <w:highlight w:val="yellow"/>
        </w:rPr>
        <w:t>CLIENT</w:t>
      </w:r>
      <w:r w:rsidR="00FE7635">
        <w:t xml:space="preserve">] </w:t>
      </w:r>
      <w:r>
        <w:t xml:space="preserve">has a </w:t>
      </w:r>
      <w:r w:rsidR="007C7F01">
        <w:t xml:space="preserve">fundamental </w:t>
      </w:r>
      <w:r>
        <w:t xml:space="preserve">right not </w:t>
      </w:r>
      <w:r w:rsidR="002B4471">
        <w:t>only to</w:t>
      </w:r>
      <w:r>
        <w:t xml:space="preserve"> </w:t>
      </w:r>
      <w:r w:rsidRPr="007C7F01">
        <w:rPr>
          <w:i/>
          <w:iCs/>
        </w:rPr>
        <w:t>know</w:t>
      </w:r>
      <w:r>
        <w:t xml:space="preserve"> </w:t>
      </w:r>
      <w:proofErr w:type="gramStart"/>
      <w:r w:rsidR="0070402E" w:rsidRPr="00C323F3">
        <w:rPr>
          <w:i/>
          <w:iCs/>
        </w:rPr>
        <w:t>all</w:t>
      </w:r>
      <w:r w:rsidR="0070402E">
        <w:t xml:space="preserve"> of</w:t>
      </w:r>
      <w:proofErr w:type="gramEnd"/>
      <w:r w:rsidR="0070402E">
        <w:t xml:space="preserve"> </w:t>
      </w:r>
      <w:r>
        <w:t xml:space="preserve">the evidence that will be offered against </w:t>
      </w:r>
      <w:r w:rsidRPr="002B4471">
        <w:rPr>
          <w:highlight w:val="yellow"/>
        </w:rPr>
        <w:t>him/her/them</w:t>
      </w:r>
      <w:r>
        <w:t>, but</w:t>
      </w:r>
      <w:r w:rsidR="002B4471">
        <w:t xml:space="preserve"> also</w:t>
      </w:r>
      <w:r>
        <w:t xml:space="preserve"> </w:t>
      </w:r>
      <w:proofErr w:type="gramStart"/>
      <w:r>
        <w:t>t</w:t>
      </w:r>
      <w:r w:rsidR="002B4471">
        <w:t>o meaningfully</w:t>
      </w:r>
      <w:proofErr w:type="gramEnd"/>
      <w:r>
        <w:t xml:space="preserve"> </w:t>
      </w:r>
      <w:r w:rsidRPr="007C7F01">
        <w:rPr>
          <w:i/>
          <w:iCs/>
        </w:rPr>
        <w:t>confront</w:t>
      </w:r>
      <w:r>
        <w:t xml:space="preserve"> and </w:t>
      </w:r>
      <w:r w:rsidRPr="007C7F01">
        <w:rPr>
          <w:i/>
          <w:iCs/>
        </w:rPr>
        <w:t>evaluate</w:t>
      </w:r>
      <w:r>
        <w:t xml:space="preserve"> the credibility of that evidence</w:t>
      </w:r>
      <w:r w:rsidRPr="007C7F01">
        <w:t>.</w:t>
      </w:r>
      <w:r>
        <w:t xml:space="preserve"> </w:t>
      </w:r>
      <w:r w:rsidRPr="00864F51">
        <w:rPr>
          <w:i/>
          <w:iCs/>
        </w:rPr>
        <w:t>Crane</w:t>
      </w:r>
      <w:r>
        <w:t xml:space="preserve">, 476 U.S. </w:t>
      </w:r>
      <w:r w:rsidR="007C7F01">
        <w:t>at</w:t>
      </w:r>
      <w:r>
        <w:t xml:space="preserve"> </w:t>
      </w:r>
      <w:r w:rsidR="0034514D" w:rsidRPr="0034514D">
        <w:t>690–91</w:t>
      </w:r>
      <w:r w:rsidR="0034514D" w:rsidRPr="0034514D" w:rsidDel="0034514D">
        <w:t xml:space="preserve"> </w:t>
      </w:r>
      <w:r>
        <w:t>(noting that</w:t>
      </w:r>
      <w:r w:rsidR="00F35DA2">
        <w:t>,</w:t>
      </w:r>
      <w:r>
        <w:t xml:space="preserve"> </w:t>
      </w:r>
      <w:r w:rsidR="002B4471">
        <w:t>without this opportunity, a</w:t>
      </w:r>
      <w:r w:rsidR="0043325D">
        <w:t>n accused is</w:t>
      </w:r>
      <w:r>
        <w:t xml:space="preserve"> “</w:t>
      </w:r>
      <w:r w:rsidRPr="00D4009F">
        <w:t>deprive</w:t>
      </w:r>
      <w:r w:rsidR="002B4471">
        <w:t xml:space="preserve">[d] . . . </w:t>
      </w:r>
      <w:r w:rsidRPr="00D4009F">
        <w:t>of the basic right to have the prosecutor's case encounter and survive the crucible of meaningful adversarial testing</w:t>
      </w:r>
      <w:r w:rsidR="002B4471">
        <w:t>”</w:t>
      </w:r>
      <w:r>
        <w:t xml:space="preserve">) (citing </w:t>
      </w:r>
      <w:proofErr w:type="gramStart"/>
      <w:r w:rsidRPr="00D4009F">
        <w:rPr>
          <w:i/>
          <w:iCs/>
        </w:rPr>
        <w:t>In</w:t>
      </w:r>
      <w:proofErr w:type="gramEnd"/>
      <w:r w:rsidRPr="00D4009F">
        <w:rPr>
          <w:i/>
          <w:iCs/>
        </w:rPr>
        <w:t xml:space="preserve"> re Oliver</w:t>
      </w:r>
      <w:r>
        <w:t xml:space="preserve">, 333 U.S. 257, 273 (1948)) (internal quotations omitted). </w:t>
      </w:r>
      <w:r w:rsidR="007C7F01">
        <w:t>I</w:t>
      </w:r>
      <w:r>
        <w:t>t i</w:t>
      </w:r>
      <w:r w:rsidR="007C7F01">
        <w:t>s in</w:t>
      </w:r>
      <w:r>
        <w:t xml:space="preserve">sufficient for the Prosecution to simply </w:t>
      </w:r>
      <w:r w:rsidR="0034514D">
        <w:t>provide [</w:t>
      </w:r>
      <w:r w:rsidR="0034514D" w:rsidRPr="00B35FA5">
        <w:rPr>
          <w:highlight w:val="yellow"/>
        </w:rPr>
        <w:t>CLIENT</w:t>
      </w:r>
      <w:r w:rsidR="0034514D">
        <w:t xml:space="preserve">] with the conclusions of </w:t>
      </w:r>
      <w:r w:rsidR="00DF3D92">
        <w:t xml:space="preserve">the </w:t>
      </w:r>
      <w:r w:rsidR="0034514D">
        <w:t xml:space="preserve">Flock system while secreting away the information necessary for </w:t>
      </w:r>
      <w:r w:rsidR="0034514D" w:rsidRPr="00B35FA5">
        <w:rPr>
          <w:highlight w:val="yellow"/>
        </w:rPr>
        <w:t>him/her/the</w:t>
      </w:r>
      <w:r w:rsidR="00B35FA5" w:rsidRPr="00B35FA5">
        <w:rPr>
          <w:highlight w:val="yellow"/>
        </w:rPr>
        <w:t>m</w:t>
      </w:r>
      <w:r w:rsidR="0034514D">
        <w:t xml:space="preserve"> to test the reliability of that conclusion.</w:t>
      </w:r>
      <w:r>
        <w:t xml:space="preserve"> </w:t>
      </w:r>
      <w:r w:rsidR="00DF3D92">
        <w:rPr>
          <w:i/>
          <w:iCs/>
        </w:rPr>
        <w:t xml:space="preserve">See </w:t>
      </w:r>
      <w:r w:rsidR="00DF3D92" w:rsidRPr="00DF3D92">
        <w:rPr>
          <w:i/>
          <w:iCs/>
        </w:rPr>
        <w:t>United States v. Dioguardi</w:t>
      </w:r>
      <w:r w:rsidR="00DF3D92">
        <w:t>, 428 F.2d 1033, 1038 (2nd Cir. 1970) (“</w:t>
      </w:r>
      <w:r w:rsidR="00DF3D92" w:rsidRPr="00DF3D92">
        <w:t xml:space="preserve">It is quite incomprehensible that the </w:t>
      </w:r>
      <w:r w:rsidR="008D6616">
        <w:t>Prosecution</w:t>
      </w:r>
      <w:r w:rsidR="00DF3D92" w:rsidRPr="00DF3D92">
        <w:t xml:space="preserve"> should tender a witness to state the results of a computer's operations without </w:t>
      </w:r>
      <w:r w:rsidR="00DF3D92" w:rsidRPr="00DF3D92">
        <w:lastRenderedPageBreak/>
        <w:t>having the program available for defense scrutiny</w:t>
      </w:r>
      <w:r w:rsidR="00DF3D92">
        <w:t xml:space="preserve"> </w:t>
      </w:r>
      <w:proofErr w:type="gramStart"/>
      <w:r w:rsidR="00DF3D92">
        <w:t>. . . .</w:t>
      </w:r>
      <w:proofErr w:type="gramEnd"/>
      <w:r w:rsidR="00DF3D92">
        <w:t xml:space="preserve"> </w:t>
      </w:r>
      <w:r w:rsidR="00DF3D92" w:rsidRPr="00DF3D92">
        <w:t>We place the Government on the clearest possible notice of its obligation to do this</w:t>
      </w:r>
      <w:r w:rsidR="00734C7D">
        <w:t>.</w:t>
      </w:r>
      <w:r w:rsidR="00DF3D92">
        <w:t xml:space="preserve">”); </w:t>
      </w:r>
      <w:r w:rsidR="00DF3D92" w:rsidRPr="00DF3D92">
        <w:rPr>
          <w:i/>
          <w:iCs/>
        </w:rPr>
        <w:t>United States v. Liebert</w:t>
      </w:r>
      <w:r w:rsidR="00DF3D92">
        <w:t xml:space="preserve">, 519 F.2d 542, 547-48 (3rd Cir. 1975); </w:t>
      </w:r>
      <w:r w:rsidR="00DF3D92" w:rsidRPr="00DF3D92">
        <w:rPr>
          <w:i/>
          <w:iCs/>
        </w:rPr>
        <w:t>United States v. Russo</w:t>
      </w:r>
      <w:r w:rsidR="00DF3D92">
        <w:t xml:space="preserve">, 480 F.2d 1228, 1241 (6th Cir. 1973). </w:t>
      </w:r>
      <w:r w:rsidR="000B25F6">
        <w:t>T</w:t>
      </w:r>
      <w:r w:rsidR="007B6B2A">
        <w:t xml:space="preserve">o assess the veracity, reliability, and basis of knowledge </w:t>
      </w:r>
      <w:r w:rsidR="0063736C">
        <w:t>of</w:t>
      </w:r>
      <w:r w:rsidR="007B6B2A">
        <w:t xml:space="preserve"> </w:t>
      </w:r>
      <w:r w:rsidR="00550EC1">
        <w:t>the</w:t>
      </w:r>
      <w:r w:rsidR="007B6B2A">
        <w:t xml:space="preserve"> Flock data</w:t>
      </w:r>
      <w:r w:rsidR="00550EC1">
        <w:t xml:space="preserve"> offered here</w:t>
      </w:r>
      <w:r w:rsidR="007B6B2A">
        <w:t xml:space="preserve">, </w:t>
      </w:r>
      <w:r w:rsidR="0034514D">
        <w:t>[</w:t>
      </w:r>
      <w:r w:rsidR="0034514D" w:rsidRPr="00B35FA5">
        <w:rPr>
          <w:highlight w:val="yellow"/>
        </w:rPr>
        <w:t>CLIENT</w:t>
      </w:r>
      <w:r w:rsidR="0034514D">
        <w:t>]</w:t>
      </w:r>
      <w:r w:rsidR="00B35FA5">
        <w:t xml:space="preserve"> </w:t>
      </w:r>
      <w:r w:rsidR="0063736C">
        <w:t>must</w:t>
      </w:r>
      <w:r w:rsidR="007B6B2A">
        <w:t xml:space="preserve"> know how Flock </w:t>
      </w:r>
      <w:r w:rsidR="00323790">
        <w:t>sy</w:t>
      </w:r>
      <w:r w:rsidR="000B25F6">
        <w:t>s</w:t>
      </w:r>
      <w:r w:rsidR="00323790">
        <w:t xml:space="preserve">tems </w:t>
      </w:r>
      <w:r w:rsidR="007B6B2A">
        <w:t>operate</w:t>
      </w:r>
      <w:r w:rsidR="00BD1CAA">
        <w:t xml:space="preserve"> and </w:t>
      </w:r>
      <w:r w:rsidR="007C7F01">
        <w:t>what their error rates are</w:t>
      </w:r>
      <w:r w:rsidR="00BD1CAA">
        <w:t xml:space="preserve">. </w:t>
      </w:r>
    </w:p>
    <w:p w14:paraId="0CD3BEF5" w14:textId="722A2E86" w:rsidR="00644A62" w:rsidRDefault="00644A62" w:rsidP="00644A62">
      <w:pPr>
        <w:spacing w:line="480" w:lineRule="auto"/>
        <w:ind w:firstLine="720"/>
        <w:jc w:val="both"/>
      </w:pPr>
      <w:r>
        <w:t>Presently, [</w:t>
      </w:r>
      <w:r w:rsidRPr="00B35FA5">
        <w:rPr>
          <w:highlight w:val="yellow"/>
        </w:rPr>
        <w:t>CLIENT</w:t>
      </w:r>
      <w:r>
        <w:t xml:space="preserve">] knows nothing about how Flock camera artificial intelligence works, how it purports to have detected </w:t>
      </w:r>
      <w:r w:rsidRPr="00C21F40">
        <w:rPr>
          <w:highlight w:val="yellow"/>
        </w:rPr>
        <w:t>his/her/their</w:t>
      </w:r>
      <w:r>
        <w:t xml:space="preserve"> vehicle, what its error rates are, whether the raw data has ever been manually verified (and if so, how, when, and by whom), or if that data has been deleted. [</w:t>
      </w:r>
      <w:r w:rsidRPr="00B27410">
        <w:rPr>
          <w:highlight w:val="yellow"/>
        </w:rPr>
        <w:t>CLIENT</w:t>
      </w:r>
      <w:r>
        <w:t>] does not know where the relevant cameras are located, who owns and operates the cameras, what operating system the cameras use, and how/if they are maintained. These gaps are not exhaustive; neither [</w:t>
      </w:r>
      <w:r w:rsidRPr="00B35FA5">
        <w:rPr>
          <w:highlight w:val="yellow"/>
        </w:rPr>
        <w:t>CLIENT</w:t>
      </w:r>
      <w:r>
        <w:t>] nor this Court presently know the depth of Flock’s actual error rates and limitations, nor the scope of Flock’s presence in [</w:t>
      </w:r>
      <w:r w:rsidRPr="00C21F40">
        <w:rPr>
          <w:highlight w:val="yellow"/>
        </w:rPr>
        <w:t>JURISDICTION, TOWN/CITY</w:t>
      </w:r>
      <w:r>
        <w:t>].</w:t>
      </w:r>
      <w:r w:rsidRPr="00644A62">
        <w:t xml:space="preserve"> </w:t>
      </w:r>
      <w:r>
        <w:t>Those gaps underscore the significance of this discovery material. Indeed, this kind of transparency is precisely what the court envisioned the language of Rule 4-262 to require.</w:t>
      </w:r>
    </w:p>
    <w:p w14:paraId="7FFB9379" w14:textId="646022C2" w:rsidR="00644A62" w:rsidRDefault="00BD5FC1" w:rsidP="00644A62">
      <w:pPr>
        <w:spacing w:line="480" w:lineRule="auto"/>
        <w:ind w:firstLine="720"/>
        <w:jc w:val="both"/>
      </w:pPr>
      <w:r>
        <w:t xml:space="preserve">In this way, </w:t>
      </w:r>
      <w:proofErr w:type="gramStart"/>
      <w:r w:rsidR="00644A62">
        <w:t>Flock</w:t>
      </w:r>
      <w:proofErr w:type="gramEnd"/>
      <w:r w:rsidR="00644A62">
        <w:t xml:space="preserve"> cameras and the information they proffer resemble confidential informants, which fall within the scope of these due process guarantees. </w:t>
      </w:r>
      <w:r w:rsidR="00644A62" w:rsidRPr="00E30059">
        <w:rPr>
          <w:i/>
          <w:iCs/>
        </w:rPr>
        <w:t>Roviaro v. United States</w:t>
      </w:r>
      <w:r w:rsidR="00644A62">
        <w:t>, 353 U.S. 53, 60-61 (1957) (“</w:t>
      </w:r>
      <w:r w:rsidR="00644A62" w:rsidRPr="00DE7B09">
        <w:t xml:space="preserve">Where the disclosure of an informer's identity, or of the contents of his communication, is relevant and helpful to the defense of an </w:t>
      </w:r>
      <w:proofErr w:type="gramStart"/>
      <w:r w:rsidR="00644A62" w:rsidRPr="00DE7B09">
        <w:t>accused, or</w:t>
      </w:r>
      <w:proofErr w:type="gramEnd"/>
      <w:r w:rsidR="00644A62" w:rsidRPr="00DE7B09">
        <w:t xml:space="preserve"> is essential to a fair determination of a cause, the privilege must give way</w:t>
      </w:r>
      <w:r w:rsidR="000A4EB6">
        <w:t>.</w:t>
      </w:r>
      <w:r w:rsidR="00644A62">
        <w:t>”). Like human confidential informants, Flock systems generate and produce unidentified second-hand information. Flock cameras are mounted in private and public areas throughout Maryland. Flock</w:t>
      </w:r>
      <w:r w:rsidR="00644A62" w:rsidRPr="00411E1E">
        <w:t xml:space="preserve"> cameras record data that may subsequently be deleted</w:t>
      </w:r>
      <w:r w:rsidR="00644A62">
        <w:t>. Just like the statements a witness makes about their memory of a day, time, and location, Flock conclusions offer testimon</w:t>
      </w:r>
      <w:r w:rsidR="00E22B58">
        <w:t xml:space="preserve">ial evidence </w:t>
      </w:r>
      <w:r w:rsidR="00C323F3">
        <w:t>about alleged events</w:t>
      </w:r>
      <w:r w:rsidR="00644A62">
        <w:t xml:space="preserve">. </w:t>
      </w:r>
      <w:r w:rsidR="00C323F3">
        <w:t>Flock’s</w:t>
      </w:r>
      <w:r w:rsidR="00644A62">
        <w:t xml:space="preserve"> </w:t>
      </w:r>
      <w:r w:rsidR="00644A62">
        <w:lastRenderedPageBreak/>
        <w:t xml:space="preserve">algorithm </w:t>
      </w:r>
      <w:r w:rsidR="00E22B58">
        <w:t>interprets data</w:t>
      </w:r>
      <w:r w:rsidR="00C323F3">
        <w:t xml:space="preserve"> captured by its cameras</w:t>
      </w:r>
      <w:r w:rsidR="00644A62">
        <w:t xml:space="preserve"> and relays the resulting conclusions to police. That thirdhand data is even </w:t>
      </w:r>
      <w:proofErr w:type="gramStart"/>
      <w:r w:rsidR="00644A62">
        <w:t>more removed</w:t>
      </w:r>
      <w:proofErr w:type="gramEnd"/>
      <w:r w:rsidR="00644A62">
        <w:t xml:space="preserve"> from the original source than information relayed to police by confidential informants. And like an unverified confidential informant, the identity, capacities, and shortcomings of Flock are largely unknown. Without this required discovery, [</w:t>
      </w:r>
      <w:r w:rsidR="00644A62" w:rsidRPr="00CA5785">
        <w:rPr>
          <w:highlight w:val="yellow"/>
        </w:rPr>
        <w:t>CLIENT</w:t>
      </w:r>
      <w:r w:rsidR="00644A62">
        <w:t>] cannot identify or evaluate the veracity of Flock’s testimonial conclusions. Because disclosure of Flock operations, functionality, and limitations is “relevant and helpful” to the defense and “essential to a fair determination of a cause,” [</w:t>
      </w:r>
      <w:r w:rsidR="00644A62" w:rsidRPr="00B27410">
        <w:rPr>
          <w:highlight w:val="yellow"/>
        </w:rPr>
        <w:t>CLIENT’s</w:t>
      </w:r>
      <w:r w:rsidR="00644A62">
        <w:t xml:space="preserve">] due process rights outweigh any government interests in informant confidentiality. </w:t>
      </w:r>
      <w:r w:rsidR="00644A62" w:rsidRPr="00811953">
        <w:rPr>
          <w:i/>
          <w:iCs/>
        </w:rPr>
        <w:t>Id.</w:t>
      </w:r>
    </w:p>
    <w:p w14:paraId="0DBF6DE6" w14:textId="063B6DD2" w:rsidR="00644A62" w:rsidRDefault="00644A62" w:rsidP="00644A62">
      <w:pPr>
        <w:spacing w:line="480" w:lineRule="auto"/>
        <w:ind w:firstLine="720"/>
        <w:jc w:val="both"/>
      </w:pPr>
      <w:r>
        <w:t xml:space="preserve">Here, the </w:t>
      </w:r>
      <w:r w:rsidR="00E61F55">
        <w:t>P</w:t>
      </w:r>
      <w:r>
        <w:t>rosecution has offered the equivalent of a confidential informant relaying information they obtained from another confidential informant. The Prosecution offers these conclusory outputs without any meaningful information about the cameras’ function, artificial intelligence operations, or reliability. In turn, model-specific information about how Flock cameras generate data and where they fall short is well within the ambit of Maryland’s mandatory disclosure requirements</w:t>
      </w:r>
      <w:r w:rsidR="000A4EB6">
        <w:t xml:space="preserve"> as</w:t>
      </w:r>
      <w:r>
        <w:t xml:space="preserve"> is information about how Flock’s artificial intelligence interprets that data. It is also constitutionally required. Without it, [</w:t>
      </w:r>
      <w:r w:rsidRPr="00B27410">
        <w:rPr>
          <w:highlight w:val="yellow"/>
        </w:rPr>
        <w:t>CLIENT</w:t>
      </w:r>
      <w:r>
        <w:t xml:space="preserve">] cannot assess the reliability, veracity, and basis in knowledge of Flock data offered by the prosecution in the instant case. </w:t>
      </w:r>
    </w:p>
    <w:p w14:paraId="0BF16FDD" w14:textId="6E7C042B" w:rsidR="00D472D1" w:rsidRDefault="008D6616" w:rsidP="00644A62">
      <w:pPr>
        <w:spacing w:line="480" w:lineRule="auto"/>
        <w:ind w:firstLine="720"/>
        <w:jc w:val="both"/>
      </w:pPr>
      <w:r>
        <w:t>[</w:t>
      </w:r>
      <w:r w:rsidRPr="008D6616">
        <w:rPr>
          <w:highlight w:val="yellow"/>
        </w:rPr>
        <w:t>CLIENT’S</w:t>
      </w:r>
      <w:r>
        <w:t>]</w:t>
      </w:r>
      <w:r w:rsidR="00DF3D92">
        <w:t xml:space="preserve"> Confrontation </w:t>
      </w:r>
      <w:r>
        <w:t>and Compulsory Process r</w:t>
      </w:r>
      <w:r w:rsidR="00DF3D92">
        <w:t>ight</w:t>
      </w:r>
      <w:r>
        <w:t xml:space="preserve">s </w:t>
      </w:r>
      <w:r w:rsidR="00DF3D92">
        <w:t xml:space="preserve">pursuant to the Sixth Amendment to the United States Constitution and </w:t>
      </w:r>
      <w:r w:rsidR="00644A62">
        <w:t xml:space="preserve">Article 21 </w:t>
      </w:r>
      <w:r w:rsidR="00734C7D">
        <w:t xml:space="preserve">of </w:t>
      </w:r>
      <w:r w:rsidR="00644A62">
        <w:t>the Maryland Declaration of Rights are implicated here as well</w:t>
      </w:r>
      <w:r w:rsidR="00DF3D92">
        <w:t xml:space="preserve">. </w:t>
      </w:r>
      <w:r w:rsidR="00BD1CAA">
        <w:t>[</w:t>
      </w:r>
      <w:r w:rsidR="00BD1CAA" w:rsidRPr="00DF3D92">
        <w:rPr>
          <w:shd w:val="clear" w:color="auto" w:fill="FFFF00"/>
        </w:rPr>
        <w:t>CLIENT</w:t>
      </w:r>
      <w:r w:rsidR="00BD1CAA">
        <w:t>]</w:t>
      </w:r>
      <w:r w:rsidR="00DF3D92">
        <w:t xml:space="preserve">’s Due Process rights necessarily include the right to confront witnesses who </w:t>
      </w:r>
      <w:r>
        <w:t>may</w:t>
      </w:r>
      <w:r w:rsidR="00DF3D92">
        <w:t xml:space="preserve"> testify against </w:t>
      </w:r>
      <w:r w:rsidR="00DF3D92" w:rsidRPr="00DF3D92">
        <w:rPr>
          <w:highlight w:val="yellow"/>
        </w:rPr>
        <w:t>him/her/them</w:t>
      </w:r>
      <w:r w:rsidR="00DF3D92">
        <w:t xml:space="preserve">. </w:t>
      </w:r>
      <w:r w:rsidRPr="008D6616">
        <w:rPr>
          <w:i/>
          <w:iCs/>
        </w:rPr>
        <w:t>Chambers v. Mississippi,</w:t>
      </w:r>
      <w:r w:rsidRPr="008D6616">
        <w:t> 410 U.S. 284, 302 (1973)</w:t>
      </w:r>
      <w:r>
        <w:t xml:space="preserve"> (“</w:t>
      </w:r>
      <w:r w:rsidR="000B25F6">
        <w:t>F</w:t>
      </w:r>
      <w:r w:rsidRPr="008D6616">
        <w:t>ew rights are more fundamental than that of an accused to present witnesses in his own defense”</w:t>
      </w:r>
      <w:r>
        <w:t xml:space="preserve">). </w:t>
      </w:r>
      <w:r w:rsidR="00DF3D92">
        <w:t>This includes law enforcement investigators, forensic technicians, or other personnel who have audited, maintained, or compiled Flock data for law enforcement purposes—</w:t>
      </w:r>
      <w:r w:rsidR="00DF3D92">
        <w:lastRenderedPageBreak/>
        <w:t xml:space="preserve">namely, the instant </w:t>
      </w:r>
      <w:r>
        <w:t>prosecution</w:t>
      </w:r>
      <w:r w:rsidR="007B6B2A">
        <w:t xml:space="preserve">. </w:t>
      </w:r>
      <w:r w:rsidR="007B6B2A" w:rsidRPr="007B6B2A">
        <w:rPr>
          <w:i/>
          <w:iCs/>
        </w:rPr>
        <w:t xml:space="preserve">See </w:t>
      </w:r>
      <w:r w:rsidR="007B6B2A">
        <w:rPr>
          <w:i/>
          <w:iCs/>
        </w:rPr>
        <w:t>Smith v. Arizona</w:t>
      </w:r>
      <w:r w:rsidR="007B6B2A">
        <w:t xml:space="preserve">, 602 U.S. 779, 783 (2024) (holding that the Confrontation Clause, as articulated in </w:t>
      </w:r>
      <w:r w:rsidR="007B6B2A" w:rsidRPr="007B6B2A">
        <w:rPr>
          <w:i/>
          <w:iCs/>
        </w:rPr>
        <w:t>Crawford v. Washington</w:t>
      </w:r>
      <w:r w:rsidR="007B6B2A" w:rsidRPr="007B6B2A">
        <w:t>, 541 U.S. 36, 53–54</w:t>
      </w:r>
      <w:r w:rsidR="007B6B2A">
        <w:t xml:space="preserve"> </w:t>
      </w:r>
      <w:r w:rsidR="007B6B2A" w:rsidRPr="007B6B2A">
        <w:t>(2004)</w:t>
      </w:r>
      <w:r w:rsidR="007B6B2A">
        <w:t xml:space="preserve">, applies to </w:t>
      </w:r>
      <w:r w:rsidR="007C7F01">
        <w:t>lab reports generated by</w:t>
      </w:r>
      <w:r w:rsidR="00885970">
        <w:t xml:space="preserve"> forensic</w:t>
      </w:r>
      <w:r w:rsidR="007B6B2A">
        <w:t xml:space="preserve"> technicians); </w:t>
      </w:r>
      <w:r w:rsidR="007B6B2A" w:rsidRPr="007B6B2A">
        <w:rPr>
          <w:i/>
          <w:iCs/>
        </w:rPr>
        <w:t>United States v. Seward</w:t>
      </w:r>
      <w:r w:rsidR="007B6B2A">
        <w:t xml:space="preserve">, 135 F.4th 161, 168 (4th Cir. 2025) (applying </w:t>
      </w:r>
      <w:r w:rsidR="007B6B2A" w:rsidRPr="007B6B2A">
        <w:rPr>
          <w:i/>
          <w:iCs/>
        </w:rPr>
        <w:t>Smith</w:t>
      </w:r>
      <w:r w:rsidR="007B6B2A">
        <w:t>)</w:t>
      </w:r>
      <w:r w:rsidR="00DF3D92">
        <w:t xml:space="preserve">; </w:t>
      </w:r>
      <w:r w:rsidR="00DF3D92" w:rsidRPr="008D6616">
        <w:rPr>
          <w:i/>
          <w:iCs/>
        </w:rPr>
        <w:t>Michigan v. Bryant</w:t>
      </w:r>
      <w:r w:rsidR="00DF3D92">
        <w:t>, 562 U.S. 344, 358-59 (2011) (holding that statements are testimonial when the primary purpose of the investigation is to “</w:t>
      </w:r>
      <w:r w:rsidR="00DF3D92" w:rsidRPr="00DF3D92">
        <w:t xml:space="preserve">establish or prove past events potentially relevant to later criminal </w:t>
      </w:r>
      <w:r>
        <w:t>prosecution</w:t>
      </w:r>
      <w:r w:rsidR="00DF3D92">
        <w:t>”).</w:t>
      </w:r>
      <w:r w:rsidR="007B6B2A">
        <w:t xml:space="preserve"> </w:t>
      </w:r>
      <w:r w:rsidR="002B4471">
        <w:t xml:space="preserve">Without crucial </w:t>
      </w:r>
      <w:r w:rsidR="00644A62">
        <w:t xml:space="preserve">model-specific </w:t>
      </w:r>
      <w:r w:rsidR="002B4471">
        <w:t xml:space="preserve">information </w:t>
      </w:r>
      <w:r w:rsidR="00644A62">
        <w:t>about</w:t>
      </w:r>
      <w:r w:rsidR="002B4471">
        <w:t xml:space="preserve"> the functionality, operation, and limitations of the Flock </w:t>
      </w:r>
      <w:r w:rsidR="00323790">
        <w:t xml:space="preserve">system </w:t>
      </w:r>
      <w:r w:rsidR="002B4471">
        <w:t xml:space="preserve">used here, </w:t>
      </w:r>
      <w:r w:rsidR="00FA16A0">
        <w:t>[</w:t>
      </w:r>
      <w:r w:rsidR="00FA16A0" w:rsidRPr="00B35FA5">
        <w:rPr>
          <w:shd w:val="clear" w:color="auto" w:fill="FFFF00"/>
        </w:rPr>
        <w:t>CLIENT</w:t>
      </w:r>
      <w:r w:rsidR="00FA16A0">
        <w:t>]</w:t>
      </w:r>
      <w:r w:rsidR="002B4471">
        <w:t xml:space="preserve"> will be unable to </w:t>
      </w:r>
      <w:r w:rsidR="0098639F">
        <w:t>test the</w:t>
      </w:r>
      <w:r w:rsidR="002B4471">
        <w:t xml:space="preserve"> evidence presented against </w:t>
      </w:r>
      <w:r w:rsidR="002B4471" w:rsidRPr="002B4471">
        <w:rPr>
          <w:highlight w:val="yellow"/>
        </w:rPr>
        <w:t>him/her/them</w:t>
      </w:r>
      <w:r w:rsidR="00E232DF">
        <w:t xml:space="preserve"> or even know what witnesses may need examining.</w:t>
      </w:r>
      <w:r w:rsidR="002B4471">
        <w:t xml:space="preserve"> </w:t>
      </w:r>
      <w:r w:rsidR="0098639F">
        <w:t>Withholding the information necessary to challenge the reliability of the government’s evidence violates</w:t>
      </w:r>
      <w:r w:rsidR="002B4471">
        <w:t xml:space="preserve"> </w:t>
      </w:r>
      <w:r w:rsidR="00644A62">
        <w:t>[</w:t>
      </w:r>
      <w:r w:rsidR="00644A62" w:rsidRPr="00644A62">
        <w:rPr>
          <w:highlight w:val="yellow"/>
        </w:rPr>
        <w:t>CLIENT’S</w:t>
      </w:r>
      <w:r w:rsidR="00644A62">
        <w:t xml:space="preserve">] </w:t>
      </w:r>
      <w:r w:rsidR="002B4471">
        <w:t xml:space="preserve">Due Process, Compulsory Process, and Confrontation Clause rights. </w:t>
      </w:r>
      <w:r w:rsidR="00644A62">
        <w:t>F</w:t>
      </w:r>
      <w:r w:rsidR="000B25F6">
        <w:t>ailing to disclose the requested information about how Flock works will deny [</w:t>
      </w:r>
      <w:r w:rsidR="000B25F6" w:rsidRPr="00B35FA5">
        <w:rPr>
          <w:shd w:val="clear" w:color="auto" w:fill="FFFF00"/>
        </w:rPr>
        <w:t>CLIENT</w:t>
      </w:r>
      <w:r w:rsidR="000B25F6">
        <w:t>]</w:t>
      </w:r>
      <w:r w:rsidR="002B4471">
        <w:t xml:space="preserve"> a fair trial. </w:t>
      </w:r>
    </w:p>
    <w:p w14:paraId="451D45A1" w14:textId="66E1AFDD" w:rsidR="00435146" w:rsidRDefault="00435146" w:rsidP="00C21F40">
      <w:pPr>
        <w:spacing w:after="240"/>
        <w:jc w:val="center"/>
        <w:rPr>
          <w:b/>
          <w:bCs/>
          <w:smallCaps/>
        </w:rPr>
      </w:pPr>
      <w:r w:rsidRPr="00435146">
        <w:rPr>
          <w:b/>
          <w:bCs/>
          <w:smallCaps/>
        </w:rPr>
        <w:t>Conclusion</w:t>
      </w:r>
    </w:p>
    <w:p w14:paraId="11301BB5" w14:textId="1B082BFB" w:rsidR="00C21F40" w:rsidRPr="00C21F40" w:rsidRDefault="005D49DD" w:rsidP="00CA5785">
      <w:pPr>
        <w:spacing w:line="480" w:lineRule="auto"/>
        <w:ind w:firstLine="720"/>
        <w:jc w:val="both"/>
        <w:rPr>
          <w:smallCaps/>
        </w:rPr>
      </w:pPr>
      <w:r>
        <w:t>Pursuant to</w:t>
      </w:r>
      <w:r w:rsidR="00F86B7F">
        <w:t xml:space="preserve"> Maryland</w:t>
      </w:r>
      <w:r>
        <w:t xml:space="preserve"> </w:t>
      </w:r>
      <w:r w:rsidR="00CA5785">
        <w:t>Court Rules</w:t>
      </w:r>
      <w:r>
        <w:t xml:space="preserve"> and federal and state constitutional protections, </w:t>
      </w:r>
      <w:r w:rsidR="006928C7">
        <w:t>[</w:t>
      </w:r>
      <w:r w:rsidR="006928C7" w:rsidRPr="00B35FA5">
        <w:rPr>
          <w:highlight w:val="yellow"/>
        </w:rPr>
        <w:t>CLIENT</w:t>
      </w:r>
      <w:r w:rsidR="006928C7">
        <w:t xml:space="preserve">] </w:t>
      </w:r>
      <w:r>
        <w:t xml:space="preserve">is entitled to discovery </w:t>
      </w:r>
      <w:r w:rsidR="00C21F40">
        <w:t>about Flock</w:t>
      </w:r>
      <w:r w:rsidR="00644A62">
        <w:t xml:space="preserve"> camera</w:t>
      </w:r>
      <w:r w:rsidR="00C21F40">
        <w:t xml:space="preserve"> operations and functionality</w:t>
      </w:r>
      <w:r>
        <w:t xml:space="preserve">. </w:t>
      </w:r>
      <w:r w:rsidR="004F7AB5">
        <w:t>Even</w:t>
      </w:r>
      <w:r w:rsidR="006928C7">
        <w:t xml:space="preserve"> the limited publicly available</w:t>
      </w:r>
      <w:r w:rsidR="004F7AB5">
        <w:t xml:space="preserve"> information about Flock’s error rates and limitations raises serious doubts about the credibility of the state’s case; accordingly, it is “favorable to the accused” </w:t>
      </w:r>
      <w:r w:rsidR="006928C7">
        <w:t>and [</w:t>
      </w:r>
      <w:r w:rsidR="006928C7" w:rsidRPr="00B35FA5">
        <w:rPr>
          <w:highlight w:val="yellow"/>
        </w:rPr>
        <w:t>CLIENT</w:t>
      </w:r>
      <w:r w:rsidR="006928C7">
        <w:t>]</w:t>
      </w:r>
      <w:r w:rsidR="00F86B7F">
        <w:t xml:space="preserve"> </w:t>
      </w:r>
      <w:r w:rsidR="004F7AB5">
        <w:t xml:space="preserve">is entitled to mandatory disclosure. </w:t>
      </w:r>
      <w:r w:rsidR="004F7AB5" w:rsidRPr="00CA5785">
        <w:rPr>
          <w:smallCaps/>
        </w:rPr>
        <w:t>Md. R</w:t>
      </w:r>
      <w:r w:rsidR="00F86B7F" w:rsidRPr="00CA5785">
        <w:t>.</w:t>
      </w:r>
      <w:r w:rsidR="004F7AB5" w:rsidRPr="00CA5785">
        <w:t xml:space="preserve"> 4-262(d)</w:t>
      </w:r>
      <w:r w:rsidR="004F7AB5">
        <w:t xml:space="preserve">; </w:t>
      </w:r>
      <w:r w:rsidR="004F7AB5" w:rsidRPr="00F166C1">
        <w:rPr>
          <w:i/>
          <w:iCs/>
        </w:rPr>
        <w:t>Brady</w:t>
      </w:r>
      <w:r w:rsidR="004F7AB5">
        <w:t xml:space="preserve">, 373 U.S. at 87. </w:t>
      </w:r>
      <w:r w:rsidR="00D211AD">
        <w:t>Additionally, w</w:t>
      </w:r>
      <w:r>
        <w:t>ithout</w:t>
      </w:r>
      <w:r w:rsidR="00D211AD">
        <w:t xml:space="preserve"> disclosure</w:t>
      </w:r>
      <w:r>
        <w:t>,</w:t>
      </w:r>
      <w:r w:rsidR="00C21F40">
        <w:t xml:space="preserve"> </w:t>
      </w:r>
      <w:r w:rsidR="006928C7">
        <w:t>[</w:t>
      </w:r>
      <w:r w:rsidR="006928C7" w:rsidRPr="00B35FA5">
        <w:rPr>
          <w:highlight w:val="yellow"/>
        </w:rPr>
        <w:t>CLIENT</w:t>
      </w:r>
      <w:r w:rsidR="006928C7">
        <w:t xml:space="preserve">] </w:t>
      </w:r>
      <w:r w:rsidR="00C21F40">
        <w:t>cannot meaningfully challenge th</w:t>
      </w:r>
      <w:r>
        <w:t xml:space="preserve">is evidence </w:t>
      </w:r>
      <w:r w:rsidR="004F7AB5">
        <w:t xml:space="preserve">and realize </w:t>
      </w:r>
      <w:r w:rsidR="004F7AB5" w:rsidRPr="004F7AB5">
        <w:rPr>
          <w:highlight w:val="yellow"/>
        </w:rPr>
        <w:t>his/her/their</w:t>
      </w:r>
      <w:r w:rsidR="004F7AB5">
        <w:t xml:space="preserve"> right to </w:t>
      </w:r>
      <w:r w:rsidR="00D211AD">
        <w:t xml:space="preserve">confront the witnesses against </w:t>
      </w:r>
      <w:r w:rsidR="00D211AD" w:rsidRPr="00CA5785">
        <w:rPr>
          <w:highlight w:val="yellow"/>
        </w:rPr>
        <w:t>him/her them</w:t>
      </w:r>
      <w:r w:rsidR="00D211AD">
        <w:t xml:space="preserve"> and </w:t>
      </w:r>
      <w:r w:rsidR="004F7AB5">
        <w:t>present a complete defense</w:t>
      </w:r>
      <w:r w:rsidR="00C21F40">
        <w:t xml:space="preserve">. </w:t>
      </w:r>
      <w:r w:rsidR="004F7AB5">
        <w:t xml:space="preserve">Denying </w:t>
      </w:r>
      <w:r w:rsidR="00D211AD" w:rsidRPr="00CA5785">
        <w:rPr>
          <w:highlight w:val="yellow"/>
        </w:rPr>
        <w:t>[CLIENT]</w:t>
      </w:r>
      <w:r w:rsidR="00D211AD">
        <w:t xml:space="preserve"> </w:t>
      </w:r>
      <w:r w:rsidR="004F7AB5">
        <w:t xml:space="preserve">access to this information about Flock cameras and technology </w:t>
      </w:r>
      <w:r w:rsidR="00D211AD">
        <w:t xml:space="preserve">work </w:t>
      </w:r>
      <w:r w:rsidR="004F7AB5">
        <w:t>would deny</w:t>
      </w:r>
      <w:r w:rsidR="00C21F40">
        <w:t xml:space="preserve"> </w:t>
      </w:r>
      <w:r w:rsidR="00D211AD" w:rsidRPr="00CA5785">
        <w:rPr>
          <w:highlight w:val="yellow"/>
        </w:rPr>
        <w:t>him/her/them</w:t>
      </w:r>
      <w:r w:rsidR="00D211AD">
        <w:t xml:space="preserve"> </w:t>
      </w:r>
      <w:r w:rsidR="00C21F40">
        <w:t xml:space="preserve">a fair trial. </w:t>
      </w:r>
    </w:p>
    <w:sectPr w:rsidR="00C21F40" w:rsidRPr="00C21F4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2308" w14:textId="77777777" w:rsidR="001D429D" w:rsidRDefault="001D429D" w:rsidP="00113A58">
      <w:r>
        <w:separator/>
      </w:r>
    </w:p>
  </w:endnote>
  <w:endnote w:type="continuationSeparator" w:id="0">
    <w:p w14:paraId="606DDC3B" w14:textId="77777777" w:rsidR="001D429D" w:rsidRDefault="001D429D" w:rsidP="0011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5704056"/>
      <w:docPartObj>
        <w:docPartGallery w:val="Page Numbers (Bottom of Page)"/>
        <w:docPartUnique/>
      </w:docPartObj>
    </w:sdtPr>
    <w:sdtContent>
      <w:p w14:paraId="68A629EE" w14:textId="1E58F1A5" w:rsidR="0031178B" w:rsidRDefault="003117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F1430D" w14:textId="77777777" w:rsidR="0031178B" w:rsidRDefault="00311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5316743"/>
      <w:docPartObj>
        <w:docPartGallery w:val="Page Numbers (Bottom of Page)"/>
        <w:docPartUnique/>
      </w:docPartObj>
    </w:sdtPr>
    <w:sdtContent>
      <w:p w14:paraId="17226C8B" w14:textId="442DF31F" w:rsidR="0031178B" w:rsidRDefault="003117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B3070D" w14:textId="77777777" w:rsidR="0031178B" w:rsidRDefault="00311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6654" w14:textId="77777777" w:rsidR="001F5B1C" w:rsidRDefault="001F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360D" w14:textId="77777777" w:rsidR="001D429D" w:rsidRDefault="001D429D" w:rsidP="00113A58">
      <w:r>
        <w:separator/>
      </w:r>
    </w:p>
  </w:footnote>
  <w:footnote w:type="continuationSeparator" w:id="0">
    <w:p w14:paraId="2B1C3085" w14:textId="77777777" w:rsidR="001D429D" w:rsidRDefault="001D429D" w:rsidP="00113A58">
      <w:r>
        <w:continuationSeparator/>
      </w:r>
    </w:p>
  </w:footnote>
  <w:footnote w:id="1">
    <w:p w14:paraId="25FAF6A5" w14:textId="7D589E69" w:rsidR="00DF3D92" w:rsidRPr="00001B64" w:rsidRDefault="00DF3D92" w:rsidP="00DF3D92">
      <w:pPr>
        <w:jc w:val="both"/>
        <w:rPr>
          <w:sz w:val="22"/>
          <w:szCs w:val="22"/>
        </w:rPr>
      </w:pPr>
      <w:r>
        <w:rPr>
          <w:rStyle w:val="FootnoteReference"/>
        </w:rPr>
        <w:footnoteRef/>
      </w:r>
      <w:r w:rsidR="008D6616">
        <w:t xml:space="preserve"> </w:t>
      </w:r>
      <w:r w:rsidRPr="00001B64">
        <w:rPr>
          <w:smallCaps/>
          <w:sz w:val="22"/>
          <w:szCs w:val="22"/>
        </w:rPr>
        <w:t>Clare Garvie</w:t>
      </w:r>
      <w:r w:rsidRPr="00001B64">
        <w:rPr>
          <w:sz w:val="22"/>
          <w:szCs w:val="22"/>
        </w:rPr>
        <w:t xml:space="preserve">, </w:t>
      </w:r>
      <w:hyperlink r:id="rId1" w:history="1">
        <w:r w:rsidRPr="000260D0">
          <w:rPr>
            <w:rStyle w:val="Hyperlink"/>
            <w:smallCaps/>
            <w:sz w:val="22"/>
            <w:szCs w:val="22"/>
          </w:rPr>
          <w:t>A Forensic Without the Science: Face Recognition in U.S. Criminal Investigations</w:t>
        </w:r>
      </w:hyperlink>
      <w:r w:rsidRPr="00001B64">
        <w:rPr>
          <w:sz w:val="22"/>
          <w:szCs w:val="22"/>
        </w:rPr>
        <w:t xml:space="preserve">, </w:t>
      </w:r>
      <w:r w:rsidRPr="00001B64">
        <w:rPr>
          <w:smallCaps/>
          <w:sz w:val="22"/>
          <w:szCs w:val="22"/>
        </w:rPr>
        <w:t>Geo. L. Ctr. On Priv. &amp; Tech</w:t>
      </w:r>
      <w:r w:rsidRPr="00001B64">
        <w:rPr>
          <w:sz w:val="22"/>
          <w:szCs w:val="22"/>
        </w:rPr>
        <w:t xml:space="preserve"> 17 (2022) (</w:t>
      </w:r>
      <w:r w:rsidR="001C6AC3">
        <w:rPr>
          <w:sz w:val="22"/>
          <w:szCs w:val="22"/>
        </w:rPr>
        <w:t>“F</w:t>
      </w:r>
      <w:r w:rsidRPr="00001B64">
        <w:rPr>
          <w:sz w:val="22"/>
          <w:szCs w:val="22"/>
        </w:rPr>
        <w:t>ace recognition as applied should not be considered a reliable source of leads or identity evidence</w:t>
      </w:r>
      <w:r w:rsidR="001C6AC3">
        <w:rPr>
          <w:sz w:val="22"/>
          <w:szCs w:val="22"/>
        </w:rPr>
        <w:t xml:space="preserve"> [because t]</w:t>
      </w:r>
      <w:r w:rsidRPr="00001B64">
        <w:rPr>
          <w:sz w:val="22"/>
          <w:szCs w:val="22"/>
        </w:rPr>
        <w:t>here exists too much room for subjectivity and conjecture, cognitive bias, low-quality or manipulated evidence, and underperforming technology</w:t>
      </w:r>
      <w:r w:rsidR="001C6AC3">
        <w:rPr>
          <w:sz w:val="22"/>
          <w:szCs w:val="22"/>
        </w:rPr>
        <w:t>.</w:t>
      </w:r>
      <w:r w:rsidRPr="00001B64">
        <w:rPr>
          <w:sz w:val="22"/>
          <w:szCs w:val="22"/>
        </w:rPr>
        <w:t xml:space="preserve">”); Maneka Sinha, </w:t>
      </w:r>
      <w:hyperlink r:id="rId2" w:history="1">
        <w:r w:rsidRPr="000260D0">
          <w:rPr>
            <w:rStyle w:val="Hyperlink"/>
            <w:i/>
            <w:iCs/>
            <w:sz w:val="22"/>
            <w:szCs w:val="22"/>
          </w:rPr>
          <w:t>The Dangers of Automated Gunshot Detection</w:t>
        </w:r>
        <w:r w:rsidRPr="000260D0">
          <w:rPr>
            <w:rStyle w:val="Hyperlink"/>
            <w:sz w:val="22"/>
            <w:szCs w:val="22"/>
          </w:rPr>
          <w:t xml:space="preserve">, 5 </w:t>
        </w:r>
        <w:r w:rsidRPr="000260D0">
          <w:rPr>
            <w:rStyle w:val="Hyperlink"/>
            <w:smallCaps/>
            <w:sz w:val="22"/>
            <w:szCs w:val="22"/>
          </w:rPr>
          <w:t>J. Law &amp; Innovation</w:t>
        </w:r>
        <w:r w:rsidRPr="000260D0">
          <w:rPr>
            <w:rStyle w:val="Hyperlink"/>
            <w:sz w:val="22"/>
            <w:szCs w:val="22"/>
          </w:rPr>
          <w:t xml:space="preserve"> 63</w:t>
        </w:r>
      </w:hyperlink>
      <w:r w:rsidRPr="00001B64">
        <w:rPr>
          <w:sz w:val="22"/>
          <w:szCs w:val="22"/>
        </w:rPr>
        <w:t>, 83</w:t>
      </w:r>
      <w:r>
        <w:rPr>
          <w:sz w:val="22"/>
          <w:szCs w:val="22"/>
        </w:rPr>
        <w:t xml:space="preserve"> </w:t>
      </w:r>
      <w:r w:rsidRPr="00001B64">
        <w:rPr>
          <w:sz w:val="22"/>
          <w:szCs w:val="22"/>
        </w:rPr>
        <w:t>(2024) (“ShotSpotter is inaccurate in detecting gunfire originating indoors, shots fired at a person at close range, and shots fired by specific weapons and that its algorithm has had difficulty separating ambient noise from gunfire</w:t>
      </w:r>
      <w:r w:rsidR="001C6AC3">
        <w:rPr>
          <w:sz w:val="22"/>
          <w:szCs w:val="22"/>
        </w:rPr>
        <w:t>.</w:t>
      </w:r>
      <w:r w:rsidRPr="00001B64">
        <w:rPr>
          <w:sz w:val="22"/>
          <w:szCs w:val="22"/>
        </w:rPr>
        <w:t>”).</w:t>
      </w:r>
    </w:p>
    <w:p w14:paraId="27D4EB7D" w14:textId="77777777" w:rsidR="00DF3D92" w:rsidRDefault="00DF3D92" w:rsidP="00DF3D9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68AD" w14:textId="77777777" w:rsidR="001F5B1C" w:rsidRDefault="001F5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F02" w14:textId="3CF55A83" w:rsidR="00113A58" w:rsidRDefault="00113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06D5" w14:textId="77777777" w:rsidR="001F5B1C" w:rsidRDefault="001F5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2E9E"/>
    <w:multiLevelType w:val="hybridMultilevel"/>
    <w:tmpl w:val="9F589DF8"/>
    <w:lvl w:ilvl="0" w:tplc="34284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D23ED"/>
    <w:multiLevelType w:val="hybridMultilevel"/>
    <w:tmpl w:val="5594A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70CF8"/>
    <w:multiLevelType w:val="hybridMultilevel"/>
    <w:tmpl w:val="6E124076"/>
    <w:lvl w:ilvl="0" w:tplc="7C7C1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F2943"/>
    <w:multiLevelType w:val="hybridMultilevel"/>
    <w:tmpl w:val="3BC8D684"/>
    <w:lvl w:ilvl="0" w:tplc="0270BC82">
      <w:start w:val="1"/>
      <w:numFmt w:val="decimal"/>
      <w:lvlText w:val="%1)"/>
      <w:lvlJc w:val="left"/>
      <w:pPr>
        <w:ind w:left="1080" w:hanging="360"/>
      </w:pPr>
    </w:lvl>
    <w:lvl w:ilvl="1" w:tplc="7348318E">
      <w:start w:val="1"/>
      <w:numFmt w:val="decimal"/>
      <w:lvlText w:val="%2)"/>
      <w:lvlJc w:val="left"/>
      <w:pPr>
        <w:ind w:left="1080" w:hanging="360"/>
      </w:pPr>
    </w:lvl>
    <w:lvl w:ilvl="2" w:tplc="8924A856">
      <w:start w:val="1"/>
      <w:numFmt w:val="decimal"/>
      <w:lvlText w:val="%3)"/>
      <w:lvlJc w:val="left"/>
      <w:pPr>
        <w:ind w:left="1080" w:hanging="360"/>
      </w:pPr>
    </w:lvl>
    <w:lvl w:ilvl="3" w:tplc="7844378E">
      <w:start w:val="1"/>
      <w:numFmt w:val="decimal"/>
      <w:lvlText w:val="%4)"/>
      <w:lvlJc w:val="left"/>
      <w:pPr>
        <w:ind w:left="1080" w:hanging="360"/>
      </w:pPr>
    </w:lvl>
    <w:lvl w:ilvl="4" w:tplc="9850D648">
      <w:start w:val="1"/>
      <w:numFmt w:val="decimal"/>
      <w:lvlText w:val="%5)"/>
      <w:lvlJc w:val="left"/>
      <w:pPr>
        <w:ind w:left="1080" w:hanging="360"/>
      </w:pPr>
    </w:lvl>
    <w:lvl w:ilvl="5" w:tplc="3ADA1E82">
      <w:start w:val="1"/>
      <w:numFmt w:val="decimal"/>
      <w:lvlText w:val="%6)"/>
      <w:lvlJc w:val="left"/>
      <w:pPr>
        <w:ind w:left="1080" w:hanging="360"/>
      </w:pPr>
    </w:lvl>
    <w:lvl w:ilvl="6" w:tplc="BB367C0C">
      <w:start w:val="1"/>
      <w:numFmt w:val="decimal"/>
      <w:lvlText w:val="%7)"/>
      <w:lvlJc w:val="left"/>
      <w:pPr>
        <w:ind w:left="1080" w:hanging="360"/>
      </w:pPr>
    </w:lvl>
    <w:lvl w:ilvl="7" w:tplc="4D1ED710">
      <w:start w:val="1"/>
      <w:numFmt w:val="decimal"/>
      <w:lvlText w:val="%8)"/>
      <w:lvlJc w:val="left"/>
      <w:pPr>
        <w:ind w:left="1080" w:hanging="360"/>
      </w:pPr>
    </w:lvl>
    <w:lvl w:ilvl="8" w:tplc="09E4EC1A">
      <w:start w:val="1"/>
      <w:numFmt w:val="decimal"/>
      <w:lvlText w:val="%9)"/>
      <w:lvlJc w:val="left"/>
      <w:pPr>
        <w:ind w:left="1080" w:hanging="360"/>
      </w:pPr>
    </w:lvl>
  </w:abstractNum>
  <w:abstractNum w:abstractNumId="4" w15:restartNumberingAfterBreak="0">
    <w:nsid w:val="514B7B08"/>
    <w:multiLevelType w:val="hybridMultilevel"/>
    <w:tmpl w:val="7756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54B74"/>
    <w:multiLevelType w:val="hybridMultilevel"/>
    <w:tmpl w:val="26F60FCC"/>
    <w:lvl w:ilvl="0" w:tplc="A3AECB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BA0589"/>
    <w:multiLevelType w:val="hybridMultilevel"/>
    <w:tmpl w:val="BAAE56BC"/>
    <w:lvl w:ilvl="0" w:tplc="1B6E9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75981">
    <w:abstractNumId w:val="1"/>
  </w:num>
  <w:num w:numId="2" w16cid:durableId="1697386234">
    <w:abstractNumId w:val="5"/>
  </w:num>
  <w:num w:numId="3" w16cid:durableId="1633831590">
    <w:abstractNumId w:val="0"/>
  </w:num>
  <w:num w:numId="4" w16cid:durableId="859899465">
    <w:abstractNumId w:val="3"/>
  </w:num>
  <w:num w:numId="5" w16cid:durableId="1221021723">
    <w:abstractNumId w:val="4"/>
  </w:num>
  <w:num w:numId="6" w16cid:durableId="813907558">
    <w:abstractNumId w:val="6"/>
  </w:num>
  <w:num w:numId="7" w16cid:durableId="1858155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58"/>
    <w:rsid w:val="00001CA5"/>
    <w:rsid w:val="000079CE"/>
    <w:rsid w:val="00015576"/>
    <w:rsid w:val="00027BDE"/>
    <w:rsid w:val="000313A8"/>
    <w:rsid w:val="00031654"/>
    <w:rsid w:val="000379D6"/>
    <w:rsid w:val="00041E87"/>
    <w:rsid w:val="0007575C"/>
    <w:rsid w:val="00091CF4"/>
    <w:rsid w:val="00093EF0"/>
    <w:rsid w:val="00094429"/>
    <w:rsid w:val="000A4EB6"/>
    <w:rsid w:val="000B25F6"/>
    <w:rsid w:val="000B2CA7"/>
    <w:rsid w:val="00113A58"/>
    <w:rsid w:val="00117A57"/>
    <w:rsid w:val="0014297B"/>
    <w:rsid w:val="0014308A"/>
    <w:rsid w:val="00153DB4"/>
    <w:rsid w:val="00195C8F"/>
    <w:rsid w:val="001A2DAA"/>
    <w:rsid w:val="001A6DBB"/>
    <w:rsid w:val="001C6AC3"/>
    <w:rsid w:val="001D429D"/>
    <w:rsid w:val="001F5B1C"/>
    <w:rsid w:val="00205FBE"/>
    <w:rsid w:val="00217B4E"/>
    <w:rsid w:val="00240B1C"/>
    <w:rsid w:val="00254F4B"/>
    <w:rsid w:val="00256FE3"/>
    <w:rsid w:val="002857C3"/>
    <w:rsid w:val="002B4471"/>
    <w:rsid w:val="002D4A62"/>
    <w:rsid w:val="002E1B24"/>
    <w:rsid w:val="0031178B"/>
    <w:rsid w:val="00314141"/>
    <w:rsid w:val="00323790"/>
    <w:rsid w:val="0034514D"/>
    <w:rsid w:val="00346DCD"/>
    <w:rsid w:val="00394917"/>
    <w:rsid w:val="003A71A7"/>
    <w:rsid w:val="003B14E9"/>
    <w:rsid w:val="003B7A55"/>
    <w:rsid w:val="003D29F0"/>
    <w:rsid w:val="003E5359"/>
    <w:rsid w:val="00411E1E"/>
    <w:rsid w:val="0043325D"/>
    <w:rsid w:val="00435146"/>
    <w:rsid w:val="00462E73"/>
    <w:rsid w:val="00466D26"/>
    <w:rsid w:val="00477608"/>
    <w:rsid w:val="00481969"/>
    <w:rsid w:val="004E30D6"/>
    <w:rsid w:val="004F7AB5"/>
    <w:rsid w:val="00517849"/>
    <w:rsid w:val="005357B3"/>
    <w:rsid w:val="00550EC1"/>
    <w:rsid w:val="00570086"/>
    <w:rsid w:val="00574FE4"/>
    <w:rsid w:val="00586EA0"/>
    <w:rsid w:val="005B4EB1"/>
    <w:rsid w:val="005D49DD"/>
    <w:rsid w:val="005F0237"/>
    <w:rsid w:val="005F51F7"/>
    <w:rsid w:val="0063736C"/>
    <w:rsid w:val="00644A62"/>
    <w:rsid w:val="006535EF"/>
    <w:rsid w:val="006564F3"/>
    <w:rsid w:val="00682B63"/>
    <w:rsid w:val="006928C7"/>
    <w:rsid w:val="006A57B7"/>
    <w:rsid w:val="006B4DC6"/>
    <w:rsid w:val="006F2D18"/>
    <w:rsid w:val="0070402E"/>
    <w:rsid w:val="00734C7D"/>
    <w:rsid w:val="00772F44"/>
    <w:rsid w:val="007741EB"/>
    <w:rsid w:val="00781F88"/>
    <w:rsid w:val="007B6B2A"/>
    <w:rsid w:val="007C380D"/>
    <w:rsid w:val="007C7F01"/>
    <w:rsid w:val="007D0DAF"/>
    <w:rsid w:val="00811953"/>
    <w:rsid w:val="008332D2"/>
    <w:rsid w:val="00864F51"/>
    <w:rsid w:val="00885970"/>
    <w:rsid w:val="00891D1C"/>
    <w:rsid w:val="00897FC5"/>
    <w:rsid w:val="008B7B40"/>
    <w:rsid w:val="008C4465"/>
    <w:rsid w:val="008C48C2"/>
    <w:rsid w:val="008C73E6"/>
    <w:rsid w:val="008D6616"/>
    <w:rsid w:val="008E585D"/>
    <w:rsid w:val="008F2875"/>
    <w:rsid w:val="0091182B"/>
    <w:rsid w:val="0098639F"/>
    <w:rsid w:val="00986424"/>
    <w:rsid w:val="009904F3"/>
    <w:rsid w:val="00993A7B"/>
    <w:rsid w:val="009C329C"/>
    <w:rsid w:val="00A0216C"/>
    <w:rsid w:val="00A069D0"/>
    <w:rsid w:val="00A10AD2"/>
    <w:rsid w:val="00A20130"/>
    <w:rsid w:val="00A745B4"/>
    <w:rsid w:val="00AC393A"/>
    <w:rsid w:val="00B27410"/>
    <w:rsid w:val="00B347C3"/>
    <w:rsid w:val="00B35FA5"/>
    <w:rsid w:val="00B36B77"/>
    <w:rsid w:val="00B418BD"/>
    <w:rsid w:val="00B46861"/>
    <w:rsid w:val="00B53BFE"/>
    <w:rsid w:val="00B56D2F"/>
    <w:rsid w:val="00B60638"/>
    <w:rsid w:val="00B762CD"/>
    <w:rsid w:val="00BD1CAA"/>
    <w:rsid w:val="00BD5FC1"/>
    <w:rsid w:val="00C2112D"/>
    <w:rsid w:val="00C21F40"/>
    <w:rsid w:val="00C323F3"/>
    <w:rsid w:val="00C550CB"/>
    <w:rsid w:val="00C57BF3"/>
    <w:rsid w:val="00C60270"/>
    <w:rsid w:val="00C77400"/>
    <w:rsid w:val="00CA19E9"/>
    <w:rsid w:val="00CA4C5B"/>
    <w:rsid w:val="00CA5785"/>
    <w:rsid w:val="00D211AD"/>
    <w:rsid w:val="00D271DF"/>
    <w:rsid w:val="00D4009F"/>
    <w:rsid w:val="00D40C73"/>
    <w:rsid w:val="00D472D1"/>
    <w:rsid w:val="00D67B96"/>
    <w:rsid w:val="00D73850"/>
    <w:rsid w:val="00D82643"/>
    <w:rsid w:val="00D8661D"/>
    <w:rsid w:val="00DA6B4F"/>
    <w:rsid w:val="00DD7DB5"/>
    <w:rsid w:val="00DE7B09"/>
    <w:rsid w:val="00DF3891"/>
    <w:rsid w:val="00DF3D92"/>
    <w:rsid w:val="00DF6C1E"/>
    <w:rsid w:val="00E004A1"/>
    <w:rsid w:val="00E13919"/>
    <w:rsid w:val="00E16E77"/>
    <w:rsid w:val="00E22B58"/>
    <w:rsid w:val="00E232DF"/>
    <w:rsid w:val="00E30059"/>
    <w:rsid w:val="00E30902"/>
    <w:rsid w:val="00E51A06"/>
    <w:rsid w:val="00E61F55"/>
    <w:rsid w:val="00E72904"/>
    <w:rsid w:val="00EA7690"/>
    <w:rsid w:val="00EB42AC"/>
    <w:rsid w:val="00EC64C8"/>
    <w:rsid w:val="00ED5C16"/>
    <w:rsid w:val="00EE7F63"/>
    <w:rsid w:val="00F157EA"/>
    <w:rsid w:val="00F166C1"/>
    <w:rsid w:val="00F35DA2"/>
    <w:rsid w:val="00F44CAB"/>
    <w:rsid w:val="00F57AD4"/>
    <w:rsid w:val="00F86B7F"/>
    <w:rsid w:val="00F92ADE"/>
    <w:rsid w:val="00F93584"/>
    <w:rsid w:val="00F93EAF"/>
    <w:rsid w:val="00FA16A0"/>
    <w:rsid w:val="00FB72B5"/>
    <w:rsid w:val="00FE2EDE"/>
    <w:rsid w:val="00FE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C291"/>
  <w15:chartTrackingRefBased/>
  <w15:docId w15:val="{C36A8DA0-A4E1-4E6C-B1E7-21FE69C1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C5"/>
    <w:pPr>
      <w:spacing w:after="0" w:line="240" w:lineRule="auto"/>
    </w:pPr>
  </w:style>
  <w:style w:type="paragraph" w:styleId="Heading1">
    <w:name w:val="heading 1"/>
    <w:basedOn w:val="Normal"/>
    <w:next w:val="Normal"/>
    <w:link w:val="Heading1Char"/>
    <w:uiPriority w:val="9"/>
    <w:qFormat/>
    <w:rsid w:val="0089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F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F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F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F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FC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97FC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97FC5"/>
    <w:rPr>
      <w:rFonts w:ascii="Times New Roman" w:eastAsiaTheme="majorEastAsia" w:hAnsi="Times New Roman"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97FC5"/>
    <w:rPr>
      <w:rFonts w:ascii="Times New Roman" w:eastAsiaTheme="majorEastAsia" w:hAnsi="Times New Roman" w:cstheme="majorBidi"/>
      <w:i/>
      <w:iCs/>
      <w:color w:val="0F4761" w:themeColor="accent1" w:themeShade="BF"/>
      <w:kern w:val="0"/>
      <w:sz w:val="20"/>
      <w:szCs w:val="20"/>
      <w14:ligatures w14:val="none"/>
    </w:rPr>
  </w:style>
  <w:style w:type="character" w:customStyle="1" w:styleId="Heading5Char">
    <w:name w:val="Heading 5 Char"/>
    <w:basedOn w:val="DefaultParagraphFont"/>
    <w:link w:val="Heading5"/>
    <w:uiPriority w:val="9"/>
    <w:semiHidden/>
    <w:rsid w:val="00897FC5"/>
    <w:rPr>
      <w:rFonts w:ascii="Times New Roman" w:eastAsiaTheme="majorEastAsia" w:hAnsi="Times New Roman" w:cstheme="majorBidi"/>
      <w:color w:val="0F4761"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897FC5"/>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897FC5"/>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897FC5"/>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897FC5"/>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897F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FC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9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FC5"/>
    <w:rPr>
      <w:rFonts w:ascii="Times New Roman" w:eastAsiaTheme="majorEastAsia" w:hAnsi="Times New Roman"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897FC5"/>
    <w:pPr>
      <w:ind w:left="720"/>
      <w:contextualSpacing/>
    </w:pPr>
    <w:rPr>
      <w:rFonts w:eastAsia="Times New Roman" w:cs="Times New Roman"/>
    </w:rPr>
  </w:style>
  <w:style w:type="paragraph" w:styleId="Quote">
    <w:name w:val="Quote"/>
    <w:basedOn w:val="Normal"/>
    <w:next w:val="Normal"/>
    <w:link w:val="QuoteChar"/>
    <w:uiPriority w:val="29"/>
    <w:qFormat/>
    <w:rsid w:val="00897FC5"/>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897FC5"/>
    <w:rPr>
      <w:rFonts w:ascii="Times New Roman" w:eastAsia="Times New Roman" w:hAnsi="Times New Roman"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897FC5"/>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IntenseQuoteChar">
    <w:name w:val="Intense Quote Char"/>
    <w:basedOn w:val="DefaultParagraphFont"/>
    <w:link w:val="IntenseQuote"/>
    <w:uiPriority w:val="30"/>
    <w:rsid w:val="00897FC5"/>
    <w:rPr>
      <w:rFonts w:ascii="Times New Roman" w:eastAsia="Times New Roman" w:hAnsi="Times New Roman" w:cs="Times New Roman"/>
      <w:i/>
      <w:iCs/>
      <w:color w:val="0F4761" w:themeColor="accent1" w:themeShade="BF"/>
      <w:kern w:val="0"/>
      <w:sz w:val="20"/>
      <w:szCs w:val="20"/>
      <w14:ligatures w14:val="none"/>
    </w:rPr>
  </w:style>
  <w:style w:type="character" w:styleId="IntenseEmphasis">
    <w:name w:val="Intense Emphasis"/>
    <w:basedOn w:val="DefaultParagraphFont"/>
    <w:uiPriority w:val="21"/>
    <w:qFormat/>
    <w:rsid w:val="00897FC5"/>
    <w:rPr>
      <w:i/>
      <w:iCs/>
      <w:color w:val="0F4761" w:themeColor="accent1" w:themeShade="BF"/>
    </w:rPr>
  </w:style>
  <w:style w:type="character" w:styleId="IntenseReference">
    <w:name w:val="Intense Reference"/>
    <w:basedOn w:val="DefaultParagraphFont"/>
    <w:uiPriority w:val="32"/>
    <w:qFormat/>
    <w:rsid w:val="00897FC5"/>
    <w:rPr>
      <w:b/>
      <w:bCs/>
      <w:smallCaps/>
      <w:color w:val="0F4761" w:themeColor="accent1" w:themeShade="BF"/>
      <w:spacing w:val="5"/>
    </w:rPr>
  </w:style>
  <w:style w:type="paragraph" w:styleId="Header">
    <w:name w:val="header"/>
    <w:basedOn w:val="Normal"/>
    <w:link w:val="HeaderChar"/>
    <w:uiPriority w:val="99"/>
    <w:unhideWhenUsed/>
    <w:rsid w:val="00113A58"/>
    <w:pPr>
      <w:tabs>
        <w:tab w:val="center" w:pos="4680"/>
        <w:tab w:val="right" w:pos="9360"/>
      </w:tabs>
    </w:pPr>
  </w:style>
  <w:style w:type="character" w:customStyle="1" w:styleId="HeaderChar">
    <w:name w:val="Header Char"/>
    <w:basedOn w:val="DefaultParagraphFont"/>
    <w:link w:val="Header"/>
    <w:uiPriority w:val="99"/>
    <w:rsid w:val="00113A58"/>
  </w:style>
  <w:style w:type="paragraph" w:styleId="Footer">
    <w:name w:val="footer"/>
    <w:basedOn w:val="Normal"/>
    <w:link w:val="FooterChar"/>
    <w:uiPriority w:val="99"/>
    <w:unhideWhenUsed/>
    <w:rsid w:val="00113A58"/>
    <w:pPr>
      <w:tabs>
        <w:tab w:val="center" w:pos="4680"/>
        <w:tab w:val="right" w:pos="9360"/>
      </w:tabs>
    </w:pPr>
  </w:style>
  <w:style w:type="character" w:customStyle="1" w:styleId="FooterChar">
    <w:name w:val="Footer Char"/>
    <w:basedOn w:val="DefaultParagraphFont"/>
    <w:link w:val="Footer"/>
    <w:uiPriority w:val="99"/>
    <w:rsid w:val="00113A58"/>
  </w:style>
  <w:style w:type="character" w:styleId="CommentReference">
    <w:name w:val="annotation reference"/>
    <w:basedOn w:val="DefaultParagraphFont"/>
    <w:uiPriority w:val="99"/>
    <w:semiHidden/>
    <w:unhideWhenUsed/>
    <w:rsid w:val="00031654"/>
    <w:rPr>
      <w:sz w:val="16"/>
      <w:szCs w:val="16"/>
    </w:rPr>
  </w:style>
  <w:style w:type="paragraph" w:styleId="CommentText">
    <w:name w:val="annotation text"/>
    <w:basedOn w:val="Normal"/>
    <w:link w:val="CommentTextChar"/>
    <w:uiPriority w:val="99"/>
    <w:unhideWhenUsed/>
    <w:rsid w:val="00031654"/>
    <w:rPr>
      <w:sz w:val="20"/>
      <w:szCs w:val="20"/>
    </w:rPr>
  </w:style>
  <w:style w:type="character" w:customStyle="1" w:styleId="CommentTextChar">
    <w:name w:val="Comment Text Char"/>
    <w:basedOn w:val="DefaultParagraphFont"/>
    <w:link w:val="CommentText"/>
    <w:uiPriority w:val="99"/>
    <w:rsid w:val="00031654"/>
    <w:rPr>
      <w:sz w:val="20"/>
      <w:szCs w:val="20"/>
    </w:rPr>
  </w:style>
  <w:style w:type="paragraph" w:styleId="CommentSubject">
    <w:name w:val="annotation subject"/>
    <w:basedOn w:val="CommentText"/>
    <w:next w:val="CommentText"/>
    <w:link w:val="CommentSubjectChar"/>
    <w:uiPriority w:val="99"/>
    <w:semiHidden/>
    <w:unhideWhenUsed/>
    <w:rsid w:val="00031654"/>
    <w:rPr>
      <w:b/>
      <w:bCs/>
    </w:rPr>
  </w:style>
  <w:style w:type="character" w:customStyle="1" w:styleId="CommentSubjectChar">
    <w:name w:val="Comment Subject Char"/>
    <w:basedOn w:val="CommentTextChar"/>
    <w:link w:val="CommentSubject"/>
    <w:uiPriority w:val="99"/>
    <w:semiHidden/>
    <w:rsid w:val="00031654"/>
    <w:rPr>
      <w:b/>
      <w:bCs/>
      <w:sz w:val="20"/>
      <w:szCs w:val="20"/>
    </w:rPr>
  </w:style>
  <w:style w:type="character" w:styleId="PageNumber">
    <w:name w:val="page number"/>
    <w:basedOn w:val="DefaultParagraphFont"/>
    <w:uiPriority w:val="99"/>
    <w:semiHidden/>
    <w:unhideWhenUsed/>
    <w:rsid w:val="0031178B"/>
  </w:style>
  <w:style w:type="character" w:styleId="Hyperlink">
    <w:name w:val="Hyperlink"/>
    <w:basedOn w:val="DefaultParagraphFont"/>
    <w:uiPriority w:val="99"/>
    <w:unhideWhenUsed/>
    <w:rsid w:val="0031178B"/>
    <w:rPr>
      <w:color w:val="467886" w:themeColor="hyperlink"/>
      <w:u w:val="single"/>
    </w:rPr>
  </w:style>
  <w:style w:type="character" w:styleId="UnresolvedMention">
    <w:name w:val="Unresolved Mention"/>
    <w:basedOn w:val="DefaultParagraphFont"/>
    <w:uiPriority w:val="99"/>
    <w:semiHidden/>
    <w:unhideWhenUsed/>
    <w:rsid w:val="0031178B"/>
    <w:rPr>
      <w:color w:val="605E5C"/>
      <w:shd w:val="clear" w:color="auto" w:fill="E1DFDD"/>
    </w:rPr>
  </w:style>
  <w:style w:type="paragraph" w:styleId="FootnoteText">
    <w:name w:val="footnote text"/>
    <w:basedOn w:val="Normal"/>
    <w:link w:val="FootnoteTextChar"/>
    <w:uiPriority w:val="99"/>
    <w:semiHidden/>
    <w:unhideWhenUsed/>
    <w:rsid w:val="00094429"/>
    <w:rPr>
      <w:sz w:val="20"/>
      <w:szCs w:val="20"/>
    </w:rPr>
  </w:style>
  <w:style w:type="character" w:customStyle="1" w:styleId="FootnoteTextChar">
    <w:name w:val="Footnote Text Char"/>
    <w:basedOn w:val="DefaultParagraphFont"/>
    <w:link w:val="FootnoteText"/>
    <w:uiPriority w:val="99"/>
    <w:semiHidden/>
    <w:rsid w:val="00094429"/>
    <w:rPr>
      <w:sz w:val="20"/>
      <w:szCs w:val="20"/>
    </w:rPr>
  </w:style>
  <w:style w:type="character" w:styleId="FootnoteReference">
    <w:name w:val="footnote reference"/>
    <w:basedOn w:val="DefaultParagraphFont"/>
    <w:uiPriority w:val="99"/>
    <w:semiHidden/>
    <w:unhideWhenUsed/>
    <w:rsid w:val="00094429"/>
    <w:rPr>
      <w:vertAlign w:val="superscript"/>
    </w:rPr>
  </w:style>
  <w:style w:type="character" w:styleId="FollowedHyperlink">
    <w:name w:val="FollowedHyperlink"/>
    <w:basedOn w:val="DefaultParagraphFont"/>
    <w:uiPriority w:val="99"/>
    <w:semiHidden/>
    <w:unhideWhenUsed/>
    <w:rsid w:val="0007575C"/>
    <w:rPr>
      <w:color w:val="96607D" w:themeColor="followedHyperlink"/>
      <w:u w:val="single"/>
    </w:rPr>
  </w:style>
  <w:style w:type="paragraph" w:styleId="Revision">
    <w:name w:val="Revision"/>
    <w:hidden/>
    <w:uiPriority w:val="99"/>
    <w:semiHidden/>
    <w:rsid w:val="00535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cksafety.com/faq" TargetMode="External"/><Relationship Id="rId13" Type="http://schemas.openxmlformats.org/officeDocument/2006/relationships/hyperlink" Target="https://www.flocksafety.com/faq" TargetMode="External"/><Relationship Id="rId18" Type="http://schemas.openxmlformats.org/officeDocument/2006/relationships/hyperlink" Target="https://www.aclu.org/news/privacy-technology/fbi-wants-exempt-biometric-mega-database-privacy?redirect=blog%2Ffree-future%2Ffbi-wants-exempt-biometric-mega-database-privacy-and-accuracy-rul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locksafety.com/faq" TargetMode="External"/><Relationship Id="rId7" Type="http://schemas.openxmlformats.org/officeDocument/2006/relationships/endnotes" Target="endnotes.xml"/><Relationship Id="rId12" Type="http://schemas.openxmlformats.org/officeDocument/2006/relationships/hyperlink" Target="https://scholarship.law.upenn.edu/cgi/viewcontent.cgi?article=9519&amp;context=penn_law_review" TargetMode="External"/><Relationship Id="rId17" Type="http://schemas.openxmlformats.org/officeDocument/2006/relationships/hyperlink" Target="https://perma.cc/T8HQ-8MG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clu.org/publications/dawn-robot-surveillance" TargetMode="External"/><Relationship Id="rId20" Type="http://schemas.openxmlformats.org/officeDocument/2006/relationships/hyperlink" Target="https://jsis.washington.edu/humanrights/2025/10/21/leaving-the-door-wide-open/?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ocksafety.com/faq"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hs.gov/sites/default/files/2025-06/25_0606_st_lprmsr.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ibrary.imaging.org/jist/articles/68/6/060401" TargetMode="External"/><Relationship Id="rId19" Type="http://schemas.openxmlformats.org/officeDocument/2006/relationships/hyperlink" Target="https://www.flocksafety.com/blog/what-happens-if-a-wanted-car-passes-by-a-flock-safety-camera" TargetMode="External"/><Relationship Id="rId4" Type="http://schemas.openxmlformats.org/officeDocument/2006/relationships/settings" Target="settings.xml"/><Relationship Id="rId9" Type="http://schemas.openxmlformats.org/officeDocument/2006/relationships/hyperlink" Target="https://www.police1.com/police-products/police-technology/publicsafetysoftware/flock-safety-launches-new-ai-powered-tools-to-accelerate-police-investigations/?utm_source=chatgpt.com" TargetMode="External"/><Relationship Id="rId14" Type="http://schemas.openxmlformats.org/officeDocument/2006/relationships/hyperlink" Target="https://read.dukeupress.edu/critical-ai/article/doi/10.1215/2834703X-11700255/401267/Rethinking-Error-Hallucinations-and"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scholarship.law.upenn.edu/cgi/viewcontent.cgi?article=1022&amp;context=jli" TargetMode="External"/><Relationship Id="rId1" Type="http://schemas.openxmlformats.org/officeDocument/2006/relationships/hyperlink" Target="https://perma.cc/3SMX-C9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CC26-8EBB-5B49-883A-127D72F5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Nazarian</dc:creator>
  <cp:keywords/>
  <dc:description/>
  <cp:lastModifiedBy>Nelson, Sofia</cp:lastModifiedBy>
  <cp:revision>2</cp:revision>
  <dcterms:created xsi:type="dcterms:W3CDTF">2025-11-26T15:38:00Z</dcterms:created>
  <dcterms:modified xsi:type="dcterms:W3CDTF">2025-11-26T15:38:00Z</dcterms:modified>
</cp:coreProperties>
</file>