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B1A47" w14:textId="1109014B" w:rsidR="002275EC" w:rsidRDefault="006F0C4F" w:rsidP="002275EC">
      <w:pPr>
        <w:spacing w:line="480" w:lineRule="auto"/>
        <w:jc w:val="center"/>
        <w:rPr>
          <w:b/>
        </w:rPr>
      </w:pPr>
      <w:bookmarkStart w:id="0" w:name="_GoBack"/>
      <w:bookmarkEnd w:id="0"/>
      <w:r>
        <w:rPr>
          <w:b/>
        </w:rPr>
        <w:t>DRAFT SECTION OF MOTION TO SUPPRESS</w:t>
      </w:r>
    </w:p>
    <w:p w14:paraId="4D2DA1C0" w14:textId="541690D3" w:rsidR="006C4421" w:rsidRDefault="006C4421" w:rsidP="00F95223">
      <w:pPr>
        <w:pStyle w:val="ListParagraph"/>
        <w:numPr>
          <w:ilvl w:val="0"/>
          <w:numId w:val="6"/>
        </w:numPr>
        <w:jc w:val="both"/>
        <w:rPr>
          <w:b/>
          <w:bCs/>
          <w:color w:val="000000" w:themeColor="text1"/>
        </w:rPr>
      </w:pPr>
      <w:r w:rsidRPr="00056E89">
        <w:rPr>
          <w:b/>
          <w:bCs/>
          <w:color w:val="000000" w:themeColor="text1"/>
        </w:rPr>
        <w:t xml:space="preserve">THE COURT SHOULD DISCOUNT POLICE </w:t>
      </w:r>
      <w:r>
        <w:rPr>
          <w:b/>
          <w:bCs/>
          <w:color w:val="000000" w:themeColor="text1"/>
        </w:rPr>
        <w:t xml:space="preserve">CHARACTERIZATIONS OF [CLIENT] AS “BLADING” </w:t>
      </w:r>
      <w:r w:rsidRPr="00056E89">
        <w:rPr>
          <w:b/>
          <w:bCs/>
          <w:color w:val="000000" w:themeColor="text1"/>
        </w:rPr>
        <w:t>WHEN DETERMINING WHETHER THE POLICE HAD SUFFICIENT REASONABLE SUSPICION OF CRIMINAL ACTIVITY TO JUSTIFY A STOP.</w:t>
      </w:r>
    </w:p>
    <w:p w14:paraId="00BED3CF" w14:textId="77777777" w:rsidR="009B5A36" w:rsidRDefault="009B5A36" w:rsidP="00F95223">
      <w:pPr>
        <w:pStyle w:val="ListParagraph"/>
        <w:ind w:left="1080"/>
        <w:jc w:val="both"/>
        <w:rPr>
          <w:b/>
          <w:bCs/>
          <w:color w:val="000000" w:themeColor="text1"/>
        </w:rPr>
      </w:pPr>
    </w:p>
    <w:p w14:paraId="6FBE4465" w14:textId="2408C81F" w:rsidR="00C525C9" w:rsidRDefault="002275EC" w:rsidP="00F95223">
      <w:pPr>
        <w:spacing w:line="480" w:lineRule="auto"/>
        <w:ind w:firstLine="720"/>
        <w:jc w:val="both"/>
      </w:pPr>
      <w:r>
        <w:t xml:space="preserve"> </w:t>
      </w:r>
      <w:r w:rsidR="006C4421">
        <w:t>“Blading” is a</w:t>
      </w:r>
      <w:r w:rsidR="00F70B63">
        <w:t xml:space="preserve"> </w:t>
      </w:r>
      <w:r w:rsidR="006C4421">
        <w:t xml:space="preserve">nondescriptive, </w:t>
      </w:r>
      <w:r w:rsidR="00F70B63">
        <w:t>conclusory</w:t>
      </w:r>
      <w:r w:rsidR="006C4421">
        <w:t>,</w:t>
      </w:r>
      <w:r w:rsidR="00F70B63">
        <w:t xml:space="preserve"> and amorphous term </w:t>
      </w:r>
      <w:r w:rsidR="006C4421">
        <w:t>that</w:t>
      </w:r>
      <w:r w:rsidR="009B5A36">
        <w:t xml:space="preserve"> has no defined meaning and is insufficient to establish reasonable, articulable, particularized suspicion of criminal activity.</w:t>
      </w:r>
      <w:r w:rsidR="00B64A3D">
        <w:t xml:space="preserve"> </w:t>
      </w:r>
      <w:r w:rsidR="00825A37">
        <w:t>Re</w:t>
      </w:r>
      <w:r w:rsidR="006C4421">
        <w:rPr>
          <w:iCs/>
        </w:rPr>
        <w:t>search shows that</w:t>
      </w:r>
      <w:r w:rsidR="009B5A36">
        <w:rPr>
          <w:iCs/>
        </w:rPr>
        <w:t xml:space="preserve"> police use this label to describe a wide array of contradictory behaviors that </w:t>
      </w:r>
      <w:r w:rsidR="00AF199B">
        <w:rPr>
          <w:iCs/>
        </w:rPr>
        <w:t xml:space="preserve">they </w:t>
      </w:r>
      <w:r w:rsidR="009B5A36">
        <w:rPr>
          <w:iCs/>
        </w:rPr>
        <w:t>deem suspicious</w:t>
      </w:r>
      <w:r w:rsidR="00825A37">
        <w:rPr>
          <w:iCs/>
        </w:rPr>
        <w:t xml:space="preserve"> – from </w:t>
      </w:r>
      <w:r w:rsidR="00E97A12">
        <w:rPr>
          <w:iCs/>
        </w:rPr>
        <w:t xml:space="preserve">walking away to avoid police contact to </w:t>
      </w:r>
      <w:r w:rsidR="00081E03">
        <w:rPr>
          <w:iCs/>
        </w:rPr>
        <w:t>assuming a</w:t>
      </w:r>
      <w:r w:rsidR="004A1DB5">
        <w:rPr>
          <w:iCs/>
        </w:rPr>
        <w:t xml:space="preserve"> fighting </w:t>
      </w:r>
      <w:r w:rsidR="00AF199B">
        <w:rPr>
          <w:iCs/>
        </w:rPr>
        <w:t>stance</w:t>
      </w:r>
      <w:r w:rsidR="004A1DB5">
        <w:rPr>
          <w:iCs/>
        </w:rPr>
        <w:t xml:space="preserve">. </w:t>
      </w:r>
      <w:r w:rsidR="00825A37">
        <w:t xml:space="preserve">Aliza Hochman Bloom, </w:t>
      </w:r>
      <w:r w:rsidR="00825A37" w:rsidRPr="00AE023A">
        <w:rPr>
          <w:i/>
          <w:iCs/>
        </w:rPr>
        <w:t>Whack-A-Mole Reasonable Suspicion</w:t>
      </w:r>
      <w:r w:rsidR="00825A37">
        <w:t xml:space="preserve">, 112 </w:t>
      </w:r>
      <w:r w:rsidR="00825A37" w:rsidRPr="00AE023A">
        <w:rPr>
          <w:smallCaps/>
        </w:rPr>
        <w:t>Cal. L. R</w:t>
      </w:r>
      <w:r w:rsidR="00825A37">
        <w:rPr>
          <w:smallCaps/>
        </w:rPr>
        <w:t>ev</w:t>
      </w:r>
      <w:r w:rsidR="00825A37" w:rsidRPr="00AE023A">
        <w:rPr>
          <w:smallCaps/>
        </w:rPr>
        <w:t>.</w:t>
      </w:r>
      <w:r w:rsidR="00825A37">
        <w:t xml:space="preserve"> 1129, 1180 (2024). And police apply the “blading” label almost exclusively to people of color to transform their otherwise unsupported hunches</w:t>
      </w:r>
      <w:r w:rsidR="009B5A36">
        <w:rPr>
          <w:iCs/>
        </w:rPr>
        <w:t xml:space="preserve"> into </w:t>
      </w:r>
      <w:r w:rsidR="00825A37">
        <w:rPr>
          <w:iCs/>
        </w:rPr>
        <w:t>something that sounds more official.</w:t>
      </w:r>
      <w:r w:rsidR="00825A37" w:rsidRPr="00825A37">
        <w:t xml:space="preserve"> </w:t>
      </w:r>
      <w:r w:rsidR="00825A37" w:rsidRPr="00C32C46">
        <w:rPr>
          <w:i/>
          <w:iCs/>
        </w:rPr>
        <w:t>Id</w:t>
      </w:r>
      <w:r w:rsidR="00825A37">
        <w:t>. at 1154.</w:t>
      </w:r>
      <w:r w:rsidR="00825A37">
        <w:rPr>
          <w:iCs/>
        </w:rPr>
        <w:t xml:space="preserve"> Because </w:t>
      </w:r>
      <w:r w:rsidR="00081E03">
        <w:rPr>
          <w:iCs/>
        </w:rPr>
        <w:t>the assertion of blading is nothing more than an</w:t>
      </w:r>
      <w:r w:rsidR="00825A37">
        <w:rPr>
          <w:iCs/>
        </w:rPr>
        <w:t xml:space="preserve"> overly</w:t>
      </w:r>
      <w:r w:rsidR="00E97A12">
        <w:rPr>
          <w:iCs/>
        </w:rPr>
        <w:t xml:space="preserve"> </w:t>
      </w:r>
      <w:r w:rsidR="00825A37">
        <w:rPr>
          <w:iCs/>
        </w:rPr>
        <w:t>broad, conclusory assumption of criminality, this Court should join others around the country in discounting any reference to “blading” in the reasonable suspicion analysis</w:t>
      </w:r>
      <w:r w:rsidR="00C32C46">
        <w:t>.</w:t>
      </w:r>
      <w:r w:rsidR="004D4DCB">
        <w:t xml:space="preserve"> </w:t>
      </w:r>
    </w:p>
    <w:p w14:paraId="4CB78F32" w14:textId="305BED91" w:rsidR="00825A37" w:rsidRDefault="00825A37" w:rsidP="00825A37">
      <w:pPr>
        <w:pStyle w:val="ListParagraph"/>
        <w:numPr>
          <w:ilvl w:val="0"/>
          <w:numId w:val="8"/>
        </w:numPr>
        <w:jc w:val="both"/>
        <w:rPr>
          <w:b/>
          <w:bCs/>
        </w:rPr>
      </w:pPr>
      <w:r>
        <w:rPr>
          <w:b/>
          <w:bCs/>
        </w:rPr>
        <w:t>“</w:t>
      </w:r>
      <w:r w:rsidRPr="00C24D8A">
        <w:rPr>
          <w:b/>
          <w:bCs/>
        </w:rPr>
        <w:t>Blading</w:t>
      </w:r>
      <w:r>
        <w:rPr>
          <w:b/>
          <w:bCs/>
        </w:rPr>
        <w:t>”</w:t>
      </w:r>
      <w:r w:rsidR="0074380D">
        <w:rPr>
          <w:b/>
          <w:bCs/>
        </w:rPr>
        <w:t xml:space="preserve"> is insufficient to establish reasonable suspicion, because it</w:t>
      </w:r>
      <w:r w:rsidRPr="00C24D8A">
        <w:rPr>
          <w:b/>
          <w:bCs/>
        </w:rPr>
        <w:t xml:space="preserve"> is </w:t>
      </w:r>
      <w:r>
        <w:rPr>
          <w:b/>
          <w:bCs/>
        </w:rPr>
        <w:t xml:space="preserve">a </w:t>
      </w:r>
      <w:r w:rsidRPr="00C24D8A">
        <w:rPr>
          <w:b/>
          <w:bCs/>
        </w:rPr>
        <w:t xml:space="preserve">conclusory </w:t>
      </w:r>
      <w:r>
        <w:rPr>
          <w:b/>
          <w:bCs/>
        </w:rPr>
        <w:t>term used by police to describe amorphous, innocuous, and even contradictory behaviors.</w:t>
      </w:r>
    </w:p>
    <w:p w14:paraId="2046330C" w14:textId="77777777" w:rsidR="00825A37" w:rsidRPr="00C24D8A" w:rsidRDefault="00825A37" w:rsidP="00F95223">
      <w:pPr>
        <w:pStyle w:val="ListParagraph"/>
        <w:jc w:val="both"/>
        <w:rPr>
          <w:b/>
          <w:bCs/>
        </w:rPr>
      </w:pPr>
    </w:p>
    <w:p w14:paraId="7AF73DE6" w14:textId="58CC1DC8" w:rsidR="00742BB7" w:rsidRDefault="005362F9" w:rsidP="00F95223">
      <w:pPr>
        <w:spacing w:line="480" w:lineRule="auto"/>
        <w:ind w:firstLine="720"/>
        <w:jc w:val="both"/>
      </w:pPr>
      <w:r>
        <w:t xml:space="preserve">There is no universal understanding of what </w:t>
      </w:r>
      <w:r w:rsidR="0067551E">
        <w:t xml:space="preserve">it means when police say a suspect </w:t>
      </w:r>
      <w:r w:rsidR="00E709D9">
        <w:t>is</w:t>
      </w:r>
      <w:r w:rsidR="0067551E">
        <w:t xml:space="preserve"> </w:t>
      </w:r>
      <w:r>
        <w:t>“blading</w:t>
      </w:r>
      <w:r w:rsidR="0067551E">
        <w:t>.</w:t>
      </w:r>
      <w:r>
        <w:t>”</w:t>
      </w:r>
      <w:r w:rsidR="0067551E">
        <w:t xml:space="preserve"> </w:t>
      </w:r>
      <w:r w:rsidR="00AE1F23">
        <w:t>To a lay person, the term suggest</w:t>
      </w:r>
      <w:r w:rsidR="00AF199B">
        <w:t>s</w:t>
      </w:r>
      <w:r w:rsidR="00AE1F23">
        <w:t xml:space="preserve"> danger and violence, conjuring images of </w:t>
      </w:r>
      <w:r w:rsidR="00AF199B">
        <w:t xml:space="preserve">a person brandishing </w:t>
      </w:r>
      <w:r w:rsidR="00AE1F23">
        <w:t>knives or razors that have blades. Some police use</w:t>
      </w:r>
      <w:r w:rsidR="00B64A3D">
        <w:t xml:space="preserve"> “blading”</w:t>
      </w:r>
      <w:r w:rsidR="00AE1F23">
        <w:t xml:space="preserve"> </w:t>
      </w:r>
      <w:r w:rsidR="00AF199B">
        <w:t>in a somewhat related way</w:t>
      </w:r>
      <w:r w:rsidR="00651E6C">
        <w:t>,</w:t>
      </w:r>
      <w:r w:rsidR="00B64A3D">
        <w:t xml:space="preserve"> </w:t>
      </w:r>
      <w:r w:rsidR="00AE1F23">
        <w:t xml:space="preserve">to suggest that a person is reaching for or concealing a weapon. Other police use the term to refer to a person moving their body in a way that </w:t>
      </w:r>
      <w:r w:rsidR="00651E6C">
        <w:t>slims</w:t>
      </w:r>
      <w:r w:rsidR="00AE1F23">
        <w:t xml:space="preserve"> their profile, making their </w:t>
      </w:r>
      <w:r w:rsidR="00CB6AA0">
        <w:t>body</w:t>
      </w:r>
      <w:r w:rsidR="00AE1F23">
        <w:t xml:space="preserve"> thinner like a blade</w:t>
      </w:r>
      <w:r w:rsidR="004D4DCB">
        <w:t>,</w:t>
      </w:r>
      <w:r w:rsidR="00AF199B">
        <w:t xml:space="preserve"> and then assume that a person doing this is posturing to hide</w:t>
      </w:r>
      <w:r w:rsidR="00AE1F23">
        <w:t xml:space="preserve"> a weapon. Still others generalize the term beyond weapons entirely and use it to refer to any behavior that the police perceive of as threatening in some amorphous way. I</w:t>
      </w:r>
      <w:r w:rsidR="00742BB7">
        <w:t xml:space="preserve">n a study published in Berkley Law’s </w:t>
      </w:r>
      <w:r w:rsidR="00742BB7" w:rsidRPr="00F95223">
        <w:rPr>
          <w:i/>
        </w:rPr>
        <w:lastRenderedPageBreak/>
        <w:t>California Law Review</w:t>
      </w:r>
      <w:r w:rsidR="00742BB7">
        <w:t xml:space="preserve">, </w:t>
      </w:r>
      <w:r>
        <w:t xml:space="preserve">Professor Aliza Hochman Bloom </w:t>
      </w:r>
      <w:r w:rsidR="00742BB7">
        <w:t xml:space="preserve">conducted a five-year nationwide review of </w:t>
      </w:r>
      <w:r>
        <w:t>court discussion</w:t>
      </w:r>
      <w:r w:rsidR="00742BB7">
        <w:t>s</w:t>
      </w:r>
      <w:r>
        <w:t xml:space="preserve"> of “blading” and found that police frequently use the term to describe different and sometimes contradictory behavior. Aliza Hochman Bloom, </w:t>
      </w:r>
      <w:r w:rsidRPr="00AE023A">
        <w:rPr>
          <w:i/>
          <w:iCs/>
        </w:rPr>
        <w:t>Whack-A-Mole Reasonable Suspicion</w:t>
      </w:r>
      <w:r>
        <w:t xml:space="preserve">, 112 </w:t>
      </w:r>
      <w:r w:rsidRPr="00AE023A">
        <w:rPr>
          <w:smallCaps/>
        </w:rPr>
        <w:t>Cal. L. R</w:t>
      </w:r>
      <w:r>
        <w:rPr>
          <w:smallCaps/>
        </w:rPr>
        <w:t>ev</w:t>
      </w:r>
      <w:r w:rsidRPr="00AE023A">
        <w:rPr>
          <w:smallCaps/>
        </w:rPr>
        <w:t>.</w:t>
      </w:r>
      <w:r>
        <w:t xml:space="preserve"> 1129, 1180 (2024). </w:t>
      </w:r>
      <w:r w:rsidR="00AE1F23">
        <w:t>More specifically</w:t>
      </w:r>
      <w:r w:rsidR="00742BB7">
        <w:t xml:space="preserve">, </w:t>
      </w:r>
      <w:r w:rsidR="00AE1F23">
        <w:t xml:space="preserve">police described </w:t>
      </w:r>
      <w:r w:rsidR="00CE76C8">
        <w:t>all</w:t>
      </w:r>
      <w:r w:rsidR="00AE1F23">
        <w:t xml:space="preserve"> the following behaviors as </w:t>
      </w:r>
      <w:r w:rsidR="00742BB7">
        <w:t>“blading</w:t>
      </w:r>
      <w:r w:rsidR="00AE1F23">
        <w:t>:”</w:t>
      </w:r>
    </w:p>
    <w:p w14:paraId="40D1BD95" w14:textId="54BE5D85" w:rsidR="00E920C0" w:rsidRDefault="004D4DCB" w:rsidP="00E920C0">
      <w:pPr>
        <w:pStyle w:val="ListParagraph"/>
        <w:numPr>
          <w:ilvl w:val="0"/>
          <w:numId w:val="9"/>
        </w:numPr>
        <w:jc w:val="both"/>
      </w:pPr>
      <w:r>
        <w:t>Ways of standing</w:t>
      </w:r>
      <w:r w:rsidR="00E920C0">
        <w:t xml:space="preserve"> that include:</w:t>
      </w:r>
    </w:p>
    <w:p w14:paraId="4962E1D5" w14:textId="77777777" w:rsidR="00E920C0" w:rsidRPr="00F207AF" w:rsidRDefault="00E920C0" w:rsidP="00E920C0">
      <w:pPr>
        <w:pStyle w:val="ListParagraph"/>
        <w:jc w:val="both"/>
        <w:rPr>
          <w:sz w:val="12"/>
          <w:szCs w:val="12"/>
        </w:rPr>
      </w:pPr>
    </w:p>
    <w:p w14:paraId="717E8703" w14:textId="77777777" w:rsidR="00E920C0" w:rsidRDefault="00E920C0" w:rsidP="00E920C0">
      <w:pPr>
        <w:pStyle w:val="ListParagraph"/>
        <w:numPr>
          <w:ilvl w:val="1"/>
          <w:numId w:val="9"/>
        </w:numPr>
        <w:jc w:val="both"/>
      </w:pPr>
      <w:r>
        <w:t>Not standing face-to-face with police;</w:t>
      </w:r>
    </w:p>
    <w:p w14:paraId="1E0E67BE" w14:textId="77777777" w:rsidR="00E920C0" w:rsidRPr="00F207AF" w:rsidRDefault="00E920C0" w:rsidP="00E920C0">
      <w:pPr>
        <w:pStyle w:val="ListParagraph"/>
        <w:jc w:val="both"/>
        <w:rPr>
          <w:sz w:val="12"/>
          <w:szCs w:val="12"/>
        </w:rPr>
      </w:pPr>
    </w:p>
    <w:p w14:paraId="29AE9BFF" w14:textId="77777777" w:rsidR="00E920C0" w:rsidRDefault="00E920C0" w:rsidP="00E920C0">
      <w:pPr>
        <w:pStyle w:val="ListParagraph"/>
        <w:numPr>
          <w:ilvl w:val="1"/>
          <w:numId w:val="9"/>
        </w:numPr>
        <w:jc w:val="both"/>
      </w:pPr>
      <w:r>
        <w:t>Standing with one’s feet angled out at ninety degrees;</w:t>
      </w:r>
    </w:p>
    <w:p w14:paraId="2AA3536A" w14:textId="77777777" w:rsidR="00E920C0" w:rsidRPr="00F207AF" w:rsidRDefault="00E920C0" w:rsidP="00E920C0">
      <w:pPr>
        <w:pStyle w:val="ListParagraph"/>
        <w:jc w:val="both"/>
        <w:rPr>
          <w:sz w:val="12"/>
          <w:szCs w:val="12"/>
        </w:rPr>
      </w:pPr>
    </w:p>
    <w:p w14:paraId="56C3D1D0" w14:textId="77777777" w:rsidR="00E920C0" w:rsidRDefault="00E920C0" w:rsidP="00E920C0">
      <w:pPr>
        <w:pStyle w:val="ListParagraph"/>
        <w:numPr>
          <w:ilvl w:val="1"/>
          <w:numId w:val="9"/>
        </w:numPr>
        <w:jc w:val="both"/>
      </w:pPr>
      <w:r>
        <w:t>Standing with one’s right hip angled away from police;</w:t>
      </w:r>
    </w:p>
    <w:p w14:paraId="3154FD44" w14:textId="77777777" w:rsidR="00E920C0" w:rsidRPr="00F207AF" w:rsidRDefault="00E920C0" w:rsidP="00E920C0">
      <w:pPr>
        <w:pStyle w:val="ListParagraph"/>
        <w:jc w:val="both"/>
        <w:rPr>
          <w:sz w:val="12"/>
          <w:szCs w:val="12"/>
        </w:rPr>
      </w:pPr>
      <w:r w:rsidRPr="00AF199B">
        <w:rPr>
          <w:sz w:val="12"/>
          <w:szCs w:val="12"/>
        </w:rPr>
        <w:t xml:space="preserve"> </w:t>
      </w:r>
    </w:p>
    <w:p w14:paraId="2484F857" w14:textId="77777777" w:rsidR="00E920C0" w:rsidRDefault="00E920C0" w:rsidP="00E920C0">
      <w:pPr>
        <w:pStyle w:val="ListParagraph"/>
        <w:numPr>
          <w:ilvl w:val="1"/>
          <w:numId w:val="9"/>
        </w:numPr>
        <w:jc w:val="both"/>
      </w:pPr>
      <w:r>
        <w:t>Standing in a position that could shield or conceal a gun from visual detection;</w:t>
      </w:r>
    </w:p>
    <w:p w14:paraId="1C37E4E5" w14:textId="77777777" w:rsidR="00E920C0" w:rsidRPr="00F207AF" w:rsidRDefault="00E920C0" w:rsidP="00E920C0">
      <w:pPr>
        <w:pStyle w:val="ListParagraph"/>
        <w:jc w:val="both"/>
        <w:rPr>
          <w:sz w:val="12"/>
          <w:szCs w:val="12"/>
        </w:rPr>
      </w:pPr>
    </w:p>
    <w:p w14:paraId="2754DD04" w14:textId="77777777" w:rsidR="00E920C0" w:rsidRDefault="00E920C0" w:rsidP="00E920C0">
      <w:pPr>
        <w:pStyle w:val="ListParagraph"/>
        <w:numPr>
          <w:ilvl w:val="1"/>
          <w:numId w:val="9"/>
        </w:numPr>
        <w:jc w:val="both"/>
      </w:pPr>
      <w:r>
        <w:t>Standing in a position that facilitates the drawing of a weapon;</w:t>
      </w:r>
    </w:p>
    <w:p w14:paraId="7DAFA24A" w14:textId="77777777" w:rsidR="00E920C0" w:rsidRPr="00F207AF" w:rsidRDefault="00E920C0" w:rsidP="00E920C0">
      <w:pPr>
        <w:pStyle w:val="ListParagraph"/>
        <w:jc w:val="both"/>
        <w:rPr>
          <w:sz w:val="12"/>
          <w:szCs w:val="12"/>
        </w:rPr>
      </w:pPr>
    </w:p>
    <w:p w14:paraId="1194BB64" w14:textId="458831D0" w:rsidR="00544387" w:rsidRDefault="00A31D46" w:rsidP="00544387">
      <w:pPr>
        <w:pStyle w:val="ListParagraph"/>
        <w:numPr>
          <w:ilvl w:val="0"/>
          <w:numId w:val="9"/>
        </w:numPr>
        <w:jc w:val="both"/>
      </w:pPr>
      <w:r>
        <w:t xml:space="preserve">Ways of moving </w:t>
      </w:r>
      <w:r w:rsidR="00544387">
        <w:t>that include:</w:t>
      </w:r>
    </w:p>
    <w:p w14:paraId="4427454E" w14:textId="77777777" w:rsidR="00544387" w:rsidRPr="004132C6" w:rsidRDefault="00544387" w:rsidP="000D348D">
      <w:pPr>
        <w:pStyle w:val="ListParagraph"/>
        <w:jc w:val="both"/>
        <w:rPr>
          <w:sz w:val="12"/>
          <w:szCs w:val="12"/>
        </w:rPr>
      </w:pPr>
    </w:p>
    <w:p w14:paraId="16B99705" w14:textId="29BB4D64" w:rsidR="00544387" w:rsidRDefault="00544387" w:rsidP="004132C6">
      <w:pPr>
        <w:pStyle w:val="ListParagraph"/>
        <w:numPr>
          <w:ilvl w:val="1"/>
          <w:numId w:val="9"/>
        </w:numPr>
        <w:jc w:val="both"/>
      </w:pPr>
      <w:r>
        <w:t>Leaning into the center console to retrieve documents;</w:t>
      </w:r>
    </w:p>
    <w:p w14:paraId="68E3619F" w14:textId="77777777" w:rsidR="00544387" w:rsidRPr="00F207AF" w:rsidRDefault="00544387" w:rsidP="00544387">
      <w:pPr>
        <w:pStyle w:val="ListParagraph"/>
        <w:jc w:val="both"/>
        <w:rPr>
          <w:sz w:val="12"/>
          <w:szCs w:val="12"/>
        </w:rPr>
      </w:pPr>
    </w:p>
    <w:p w14:paraId="7625038D" w14:textId="77777777" w:rsidR="00544387" w:rsidRDefault="00544387" w:rsidP="004132C6">
      <w:pPr>
        <w:pStyle w:val="ListParagraph"/>
        <w:numPr>
          <w:ilvl w:val="1"/>
          <w:numId w:val="9"/>
        </w:numPr>
        <w:jc w:val="both"/>
      </w:pPr>
      <w:r>
        <w:t>Putting one’s hands in their pockets;</w:t>
      </w:r>
    </w:p>
    <w:p w14:paraId="05061C8E" w14:textId="77777777" w:rsidR="00544387" w:rsidRPr="00F207AF" w:rsidRDefault="00544387" w:rsidP="00544387">
      <w:pPr>
        <w:pStyle w:val="ListParagraph"/>
        <w:jc w:val="both"/>
        <w:rPr>
          <w:sz w:val="12"/>
          <w:szCs w:val="12"/>
        </w:rPr>
      </w:pPr>
    </w:p>
    <w:p w14:paraId="56822F74" w14:textId="2A9E6DC4" w:rsidR="00544387" w:rsidRDefault="00544387" w:rsidP="004132C6">
      <w:pPr>
        <w:pStyle w:val="ListParagraph"/>
        <w:numPr>
          <w:ilvl w:val="1"/>
          <w:numId w:val="9"/>
        </w:numPr>
        <w:jc w:val="both"/>
      </w:pPr>
      <w:r>
        <w:t xml:space="preserve">Moving sideways; </w:t>
      </w:r>
    </w:p>
    <w:p w14:paraId="108AE7AF" w14:textId="77777777" w:rsidR="00F42C4E" w:rsidRPr="004132C6" w:rsidRDefault="00F42C4E" w:rsidP="000D348D">
      <w:pPr>
        <w:pStyle w:val="ListParagraph"/>
        <w:rPr>
          <w:sz w:val="12"/>
          <w:szCs w:val="12"/>
        </w:rPr>
      </w:pPr>
    </w:p>
    <w:p w14:paraId="1AE5CF6C" w14:textId="575EB11D" w:rsidR="00F42C4E" w:rsidRDefault="00F42C4E" w:rsidP="004132C6">
      <w:pPr>
        <w:pStyle w:val="ListParagraph"/>
        <w:numPr>
          <w:ilvl w:val="1"/>
          <w:numId w:val="9"/>
        </w:numPr>
        <w:jc w:val="both"/>
      </w:pPr>
      <w:r>
        <w:t>Diagonally crossing a street;</w:t>
      </w:r>
    </w:p>
    <w:p w14:paraId="2D9020D3" w14:textId="77777777" w:rsidR="009364E6" w:rsidRPr="004132C6" w:rsidRDefault="009364E6" w:rsidP="000D348D">
      <w:pPr>
        <w:pStyle w:val="ListParagraph"/>
        <w:rPr>
          <w:sz w:val="12"/>
          <w:szCs w:val="12"/>
        </w:rPr>
      </w:pPr>
    </w:p>
    <w:p w14:paraId="4AA359E3" w14:textId="2ED54A8D" w:rsidR="009364E6" w:rsidRDefault="009364E6" w:rsidP="004132C6">
      <w:pPr>
        <w:pStyle w:val="ListParagraph"/>
        <w:numPr>
          <w:ilvl w:val="1"/>
          <w:numId w:val="9"/>
        </w:numPr>
        <w:jc w:val="both"/>
      </w:pPr>
      <w:r>
        <w:t>Reaching across one’s body in way that changes the profile shown to officers;</w:t>
      </w:r>
    </w:p>
    <w:p w14:paraId="5B635400" w14:textId="77777777" w:rsidR="00544387" w:rsidRPr="00F207AF" w:rsidRDefault="00544387" w:rsidP="00544387">
      <w:pPr>
        <w:pStyle w:val="ListParagraph"/>
        <w:jc w:val="both"/>
        <w:rPr>
          <w:sz w:val="12"/>
          <w:szCs w:val="12"/>
        </w:rPr>
      </w:pPr>
    </w:p>
    <w:p w14:paraId="14909CBF" w14:textId="060A9C47" w:rsidR="009364E6" w:rsidRDefault="009364E6" w:rsidP="009364E6">
      <w:pPr>
        <w:pStyle w:val="ListParagraph"/>
        <w:numPr>
          <w:ilvl w:val="1"/>
          <w:numId w:val="9"/>
        </w:numPr>
        <w:jc w:val="both"/>
      </w:pPr>
      <w:r>
        <w:t>Turning one’s body away from police to make a thinner profile;</w:t>
      </w:r>
    </w:p>
    <w:p w14:paraId="0ADA0E27" w14:textId="77777777" w:rsidR="009364E6" w:rsidRPr="00F207AF" w:rsidRDefault="009364E6" w:rsidP="009364E6">
      <w:pPr>
        <w:pStyle w:val="ListParagraph"/>
        <w:jc w:val="both"/>
        <w:rPr>
          <w:sz w:val="12"/>
          <w:szCs w:val="12"/>
        </w:rPr>
      </w:pPr>
    </w:p>
    <w:p w14:paraId="5DE7D32C" w14:textId="4DF70871" w:rsidR="009364E6" w:rsidRDefault="009364E6" w:rsidP="009364E6">
      <w:pPr>
        <w:pStyle w:val="ListParagraph"/>
        <w:numPr>
          <w:ilvl w:val="1"/>
          <w:numId w:val="9"/>
        </w:numPr>
        <w:jc w:val="both"/>
      </w:pPr>
      <w:r>
        <w:t>Moving in way that conceals one’s waistband from an officer’s view;</w:t>
      </w:r>
    </w:p>
    <w:p w14:paraId="09BFB84F" w14:textId="77777777" w:rsidR="00F42C4E" w:rsidRPr="004132C6" w:rsidRDefault="00F42C4E" w:rsidP="000D348D">
      <w:pPr>
        <w:pStyle w:val="ListParagraph"/>
        <w:rPr>
          <w:sz w:val="12"/>
          <w:szCs w:val="12"/>
        </w:rPr>
      </w:pPr>
    </w:p>
    <w:p w14:paraId="190BAE58" w14:textId="039D5C56" w:rsidR="00F42C4E" w:rsidRDefault="00F42C4E" w:rsidP="009364E6">
      <w:pPr>
        <w:pStyle w:val="ListParagraph"/>
        <w:numPr>
          <w:ilvl w:val="1"/>
          <w:numId w:val="9"/>
        </w:numPr>
        <w:jc w:val="both"/>
      </w:pPr>
      <w:r>
        <w:t>Moving in a way that hides one side of the body from police view;</w:t>
      </w:r>
    </w:p>
    <w:p w14:paraId="219D1F0B" w14:textId="77777777" w:rsidR="009364E6" w:rsidRPr="00F207AF" w:rsidRDefault="009364E6" w:rsidP="009364E6">
      <w:pPr>
        <w:pStyle w:val="ListParagraph"/>
        <w:jc w:val="both"/>
        <w:rPr>
          <w:sz w:val="12"/>
          <w:szCs w:val="12"/>
        </w:rPr>
      </w:pPr>
    </w:p>
    <w:p w14:paraId="6EABDC16" w14:textId="46F2809D" w:rsidR="00544387" w:rsidRDefault="00544387" w:rsidP="004132C6">
      <w:pPr>
        <w:pStyle w:val="ListParagraph"/>
        <w:numPr>
          <w:ilvl w:val="1"/>
          <w:numId w:val="9"/>
        </w:numPr>
        <w:jc w:val="both"/>
      </w:pPr>
      <w:r>
        <w:t xml:space="preserve">Movements police deem characteristic of someone who is placing the side of their body in a position where the police cannot see it; </w:t>
      </w:r>
    </w:p>
    <w:p w14:paraId="7B589987" w14:textId="77777777" w:rsidR="00F42C4E" w:rsidRPr="004132C6" w:rsidRDefault="00F42C4E" w:rsidP="000D348D">
      <w:pPr>
        <w:pStyle w:val="ListParagraph"/>
        <w:rPr>
          <w:sz w:val="12"/>
          <w:szCs w:val="12"/>
        </w:rPr>
      </w:pPr>
    </w:p>
    <w:p w14:paraId="58AE2390" w14:textId="31455DA0" w:rsidR="00F42C4E" w:rsidRDefault="00F42C4E" w:rsidP="004132C6">
      <w:pPr>
        <w:pStyle w:val="ListParagraph"/>
        <w:numPr>
          <w:ilvl w:val="1"/>
          <w:numId w:val="9"/>
        </w:numPr>
        <w:jc w:val="both"/>
      </w:pPr>
      <w:r>
        <w:t>Movements that support an inference that a person is armed;</w:t>
      </w:r>
    </w:p>
    <w:p w14:paraId="4560AE82" w14:textId="77777777" w:rsidR="00F42C4E" w:rsidRPr="004132C6" w:rsidRDefault="00F42C4E" w:rsidP="000D348D">
      <w:pPr>
        <w:pStyle w:val="ListParagraph"/>
        <w:rPr>
          <w:sz w:val="12"/>
          <w:szCs w:val="12"/>
        </w:rPr>
      </w:pPr>
    </w:p>
    <w:p w14:paraId="4D258EF4" w14:textId="1EEAC22B" w:rsidR="00F42C4E" w:rsidRDefault="00F42C4E" w:rsidP="004132C6">
      <w:pPr>
        <w:pStyle w:val="ListParagraph"/>
        <w:numPr>
          <w:ilvl w:val="1"/>
          <w:numId w:val="9"/>
        </w:numPr>
        <w:jc w:val="both"/>
      </w:pPr>
      <w:r>
        <w:t>Holding one’s waistband;</w:t>
      </w:r>
    </w:p>
    <w:p w14:paraId="52272456" w14:textId="77777777" w:rsidR="00544387" w:rsidRPr="00F207AF" w:rsidRDefault="00544387" w:rsidP="00544387">
      <w:pPr>
        <w:pStyle w:val="ListParagraph"/>
        <w:jc w:val="both"/>
        <w:rPr>
          <w:sz w:val="12"/>
          <w:szCs w:val="12"/>
        </w:rPr>
      </w:pPr>
    </w:p>
    <w:p w14:paraId="49EDDF39" w14:textId="77777777" w:rsidR="009364E6" w:rsidRDefault="009364E6" w:rsidP="009364E6">
      <w:pPr>
        <w:pStyle w:val="ListParagraph"/>
        <w:numPr>
          <w:ilvl w:val="1"/>
          <w:numId w:val="9"/>
        </w:numPr>
        <w:jc w:val="both"/>
      </w:pPr>
      <w:r>
        <w:t>Touching or looking at an area of one’s body where a weapon could be;</w:t>
      </w:r>
    </w:p>
    <w:p w14:paraId="459969F2" w14:textId="77777777" w:rsidR="009364E6" w:rsidRPr="00F207AF" w:rsidRDefault="009364E6" w:rsidP="009364E6">
      <w:pPr>
        <w:pStyle w:val="ListParagraph"/>
        <w:rPr>
          <w:sz w:val="12"/>
          <w:szCs w:val="12"/>
        </w:rPr>
      </w:pPr>
    </w:p>
    <w:p w14:paraId="026D812F" w14:textId="12CC60DA" w:rsidR="00F42C4E" w:rsidRDefault="00F42C4E" w:rsidP="004132C6">
      <w:pPr>
        <w:pStyle w:val="ListParagraph"/>
        <w:numPr>
          <w:ilvl w:val="1"/>
          <w:numId w:val="9"/>
        </w:numPr>
        <w:jc w:val="both"/>
      </w:pPr>
      <w:r>
        <w:t>Stepping out of a car with one’s back to the police</w:t>
      </w:r>
      <w:r w:rsidR="00E920C0">
        <w:t xml:space="preserve"> </w:t>
      </w:r>
      <w:r w:rsidR="004D4DCB">
        <w:t>and</w:t>
      </w:r>
      <w:r w:rsidR="00E920C0">
        <w:t xml:space="preserve"> back</w:t>
      </w:r>
      <w:r w:rsidR="004D4DCB">
        <w:t>ing</w:t>
      </w:r>
      <w:r>
        <w:t xml:space="preserve"> away to allow a police search of the car;</w:t>
      </w:r>
    </w:p>
    <w:p w14:paraId="0B8CB8DA" w14:textId="77777777" w:rsidR="00544387" w:rsidRPr="00F207AF" w:rsidRDefault="00544387" w:rsidP="00544387">
      <w:pPr>
        <w:pStyle w:val="ListParagraph"/>
        <w:jc w:val="both"/>
        <w:rPr>
          <w:sz w:val="12"/>
          <w:szCs w:val="12"/>
        </w:rPr>
      </w:pPr>
    </w:p>
    <w:p w14:paraId="394381B0" w14:textId="77777777" w:rsidR="00E920C0" w:rsidRDefault="00E920C0" w:rsidP="00E920C0">
      <w:pPr>
        <w:pStyle w:val="ListParagraph"/>
        <w:numPr>
          <w:ilvl w:val="1"/>
          <w:numId w:val="9"/>
        </w:numPr>
        <w:jc w:val="both"/>
      </w:pPr>
      <w:r>
        <w:t xml:space="preserve">Turning from police to walk away; </w:t>
      </w:r>
    </w:p>
    <w:p w14:paraId="6DD303E4" w14:textId="77777777" w:rsidR="00E920C0" w:rsidRPr="00F207AF" w:rsidRDefault="00E920C0" w:rsidP="00E920C0">
      <w:pPr>
        <w:pStyle w:val="ListParagraph"/>
        <w:rPr>
          <w:sz w:val="12"/>
          <w:szCs w:val="12"/>
        </w:rPr>
      </w:pPr>
    </w:p>
    <w:p w14:paraId="111FFB88" w14:textId="77777777" w:rsidR="00E920C0" w:rsidRDefault="00E920C0" w:rsidP="004132C6">
      <w:pPr>
        <w:pStyle w:val="ListParagraph"/>
        <w:numPr>
          <w:ilvl w:val="1"/>
          <w:numId w:val="9"/>
        </w:numPr>
        <w:jc w:val="both"/>
      </w:pPr>
      <w:r>
        <w:t>Walking away from police;</w:t>
      </w:r>
    </w:p>
    <w:p w14:paraId="165B77DD" w14:textId="77777777" w:rsidR="00E920C0" w:rsidRPr="004132C6" w:rsidRDefault="00E920C0" w:rsidP="000D348D">
      <w:pPr>
        <w:pStyle w:val="ListParagraph"/>
        <w:rPr>
          <w:sz w:val="12"/>
          <w:szCs w:val="12"/>
        </w:rPr>
      </w:pPr>
    </w:p>
    <w:p w14:paraId="309C32A0" w14:textId="386B3598" w:rsidR="00544387" w:rsidRDefault="00544387" w:rsidP="004132C6">
      <w:pPr>
        <w:pStyle w:val="ListParagraph"/>
        <w:numPr>
          <w:ilvl w:val="1"/>
          <w:numId w:val="9"/>
        </w:numPr>
        <w:jc w:val="both"/>
      </w:pPr>
      <w:r>
        <w:t xml:space="preserve">Retreating movements; </w:t>
      </w:r>
    </w:p>
    <w:p w14:paraId="734EFD23" w14:textId="77777777" w:rsidR="00544387" w:rsidRPr="00F207AF" w:rsidRDefault="00544387" w:rsidP="00544387">
      <w:pPr>
        <w:pStyle w:val="ListParagraph"/>
        <w:jc w:val="both"/>
        <w:rPr>
          <w:sz w:val="12"/>
          <w:szCs w:val="12"/>
        </w:rPr>
      </w:pPr>
    </w:p>
    <w:p w14:paraId="2448E99E" w14:textId="1616849E" w:rsidR="009364E6" w:rsidRDefault="009364E6" w:rsidP="009364E6">
      <w:pPr>
        <w:pStyle w:val="ListParagraph"/>
        <w:numPr>
          <w:ilvl w:val="0"/>
          <w:numId w:val="9"/>
        </w:numPr>
        <w:jc w:val="both"/>
      </w:pPr>
      <w:r>
        <w:lastRenderedPageBreak/>
        <w:t>Perceived threats that include:</w:t>
      </w:r>
    </w:p>
    <w:p w14:paraId="2AE0990D" w14:textId="77777777" w:rsidR="009364E6" w:rsidRPr="004132C6" w:rsidRDefault="009364E6" w:rsidP="000D348D">
      <w:pPr>
        <w:rPr>
          <w:sz w:val="12"/>
          <w:szCs w:val="12"/>
        </w:rPr>
      </w:pPr>
    </w:p>
    <w:p w14:paraId="7758C6AD" w14:textId="77777777" w:rsidR="00E920C0" w:rsidRDefault="00E920C0" w:rsidP="00E920C0">
      <w:pPr>
        <w:pStyle w:val="ListParagraph"/>
        <w:numPr>
          <w:ilvl w:val="1"/>
          <w:numId w:val="9"/>
        </w:numPr>
        <w:jc w:val="both"/>
      </w:pPr>
      <w:r>
        <w:t xml:space="preserve">Standing with one foot in front of the other in a way that police think indicates an “aggressive” or “fighting” stance; </w:t>
      </w:r>
    </w:p>
    <w:p w14:paraId="23CAC03A" w14:textId="77777777" w:rsidR="00E920C0" w:rsidRPr="00F207AF" w:rsidRDefault="00E920C0" w:rsidP="00E920C0">
      <w:pPr>
        <w:pStyle w:val="ListParagraph"/>
        <w:jc w:val="both"/>
        <w:rPr>
          <w:sz w:val="12"/>
          <w:szCs w:val="12"/>
        </w:rPr>
      </w:pPr>
    </w:p>
    <w:p w14:paraId="2809A403" w14:textId="77777777" w:rsidR="00E920C0" w:rsidRDefault="00E920C0" w:rsidP="00E920C0">
      <w:pPr>
        <w:pStyle w:val="ListParagraph"/>
        <w:numPr>
          <w:ilvl w:val="1"/>
          <w:numId w:val="9"/>
        </w:numPr>
        <w:jc w:val="both"/>
      </w:pPr>
      <w:r>
        <w:t>Displaying increasing agitation;</w:t>
      </w:r>
    </w:p>
    <w:p w14:paraId="14E5D95D" w14:textId="77777777" w:rsidR="00E920C0" w:rsidRPr="00F207AF" w:rsidRDefault="00E920C0" w:rsidP="00E920C0">
      <w:pPr>
        <w:pStyle w:val="ListParagraph"/>
        <w:jc w:val="both"/>
        <w:rPr>
          <w:sz w:val="12"/>
          <w:szCs w:val="12"/>
        </w:rPr>
      </w:pPr>
    </w:p>
    <w:p w14:paraId="343D41C5" w14:textId="66AB9F40" w:rsidR="00E920C0" w:rsidRDefault="00E920C0" w:rsidP="00E920C0">
      <w:pPr>
        <w:pStyle w:val="ListParagraph"/>
        <w:numPr>
          <w:ilvl w:val="1"/>
          <w:numId w:val="9"/>
        </w:numPr>
        <w:jc w:val="both"/>
      </w:pPr>
      <w:r>
        <w:t xml:space="preserve">Pacing </w:t>
      </w:r>
      <w:r w:rsidR="00B64A3D">
        <w:t>b</w:t>
      </w:r>
      <w:r>
        <w:t xml:space="preserve">ack and forth with flailing arms and clenched fists while accusing officers of harassment; </w:t>
      </w:r>
    </w:p>
    <w:p w14:paraId="104BE6C0" w14:textId="77777777" w:rsidR="00E920C0" w:rsidRPr="00B64A3D" w:rsidRDefault="00E920C0" w:rsidP="00B64A3D">
      <w:pPr>
        <w:jc w:val="both"/>
        <w:rPr>
          <w:sz w:val="12"/>
          <w:szCs w:val="12"/>
        </w:rPr>
      </w:pPr>
    </w:p>
    <w:p w14:paraId="285E0D2A" w14:textId="371FF895" w:rsidR="009364E6" w:rsidRDefault="009364E6" w:rsidP="004132C6">
      <w:pPr>
        <w:pStyle w:val="ListParagraph"/>
        <w:numPr>
          <w:ilvl w:val="1"/>
          <w:numId w:val="9"/>
        </w:numPr>
        <w:jc w:val="both"/>
      </w:pPr>
      <w:r>
        <w:t>Preparing to attack</w:t>
      </w:r>
      <w:r w:rsidR="00F42C4E">
        <w:t>;</w:t>
      </w:r>
      <w:r w:rsidR="00E920C0">
        <w:t xml:space="preserve"> and</w:t>
      </w:r>
    </w:p>
    <w:p w14:paraId="01FD6244" w14:textId="77777777" w:rsidR="00E920C0" w:rsidRPr="00F207AF" w:rsidRDefault="00E920C0" w:rsidP="004132C6">
      <w:pPr>
        <w:pStyle w:val="ListParagraph"/>
        <w:jc w:val="both"/>
        <w:rPr>
          <w:sz w:val="12"/>
          <w:szCs w:val="12"/>
        </w:rPr>
      </w:pPr>
    </w:p>
    <w:p w14:paraId="40F846B4" w14:textId="071BCF59" w:rsidR="00F42C4E" w:rsidRDefault="00E920C0" w:rsidP="004132C6">
      <w:pPr>
        <w:pStyle w:val="ListParagraph"/>
        <w:numPr>
          <w:ilvl w:val="1"/>
          <w:numId w:val="9"/>
        </w:numPr>
        <w:jc w:val="both"/>
      </w:pPr>
      <w:r>
        <w:t>Any b</w:t>
      </w:r>
      <w:r w:rsidR="00F42C4E">
        <w:t>ehavior that police deem “aggressive” or “threatening</w:t>
      </w:r>
      <w:r>
        <w:t>.</w:t>
      </w:r>
      <w:r w:rsidR="00F42C4E">
        <w:t>”</w:t>
      </w:r>
    </w:p>
    <w:p w14:paraId="1AD8F891" w14:textId="77777777" w:rsidR="00544387" w:rsidRPr="00F207AF" w:rsidRDefault="00544387" w:rsidP="004132C6">
      <w:pPr>
        <w:pStyle w:val="ListParagraph"/>
        <w:jc w:val="both"/>
        <w:rPr>
          <w:sz w:val="12"/>
          <w:szCs w:val="12"/>
        </w:rPr>
      </w:pPr>
    </w:p>
    <w:p w14:paraId="3F143119" w14:textId="77777777" w:rsidR="00192CB5" w:rsidRPr="004132C6" w:rsidRDefault="00192CB5">
      <w:pPr>
        <w:jc w:val="both"/>
        <w:rPr>
          <w:sz w:val="12"/>
          <w:szCs w:val="12"/>
        </w:rPr>
      </w:pPr>
    </w:p>
    <w:p w14:paraId="3AEA7A7D" w14:textId="4DE586CA" w:rsidR="00343637" w:rsidRDefault="00E062D6" w:rsidP="00E062D6">
      <w:pPr>
        <w:spacing w:line="480" w:lineRule="auto"/>
        <w:jc w:val="both"/>
      </w:pPr>
      <w:r>
        <w:t xml:space="preserve">Bloom, </w:t>
      </w:r>
      <w:r w:rsidR="002750EC">
        <w:rPr>
          <w:i/>
          <w:iCs/>
        </w:rPr>
        <w:t>supra</w:t>
      </w:r>
      <w:r w:rsidR="0064326E">
        <w:rPr>
          <w:i/>
          <w:iCs/>
        </w:rPr>
        <w:t xml:space="preserve"> </w:t>
      </w:r>
      <w:r w:rsidR="0064326E">
        <w:t>at 1131, 1155-</w:t>
      </w:r>
      <w:r w:rsidR="00E920C0">
        <w:t>1178</w:t>
      </w:r>
      <w:r>
        <w:t xml:space="preserve">. </w:t>
      </w:r>
      <w:r w:rsidR="00742BB7">
        <w:t>As these examples</w:t>
      </w:r>
      <w:r w:rsidR="00343637">
        <w:t xml:space="preserve"> show</w:t>
      </w:r>
      <w:r w:rsidR="00742BB7">
        <w:t xml:space="preserve">, </w:t>
      </w:r>
      <w:r w:rsidR="00AE1F23">
        <w:t>the term “blading” is currently used</w:t>
      </w:r>
      <w:r w:rsidR="00742BB7">
        <w:t xml:space="preserve"> by police to describe any suspect position that does not involve passively standing with one’s entire body facing a police officer</w:t>
      </w:r>
      <w:r w:rsidR="00AE1F23">
        <w:t xml:space="preserve"> </w:t>
      </w:r>
      <w:r w:rsidR="00343637">
        <w:t>and includes</w:t>
      </w:r>
      <w:r w:rsidR="00AE1F23">
        <w:t xml:space="preserve"> </w:t>
      </w:r>
      <w:r w:rsidR="005B516A">
        <w:t xml:space="preserve">“individuals who are sitting, standing, and walking away without intent to obscure anything.” </w:t>
      </w:r>
      <w:r w:rsidR="005B516A" w:rsidRPr="005B516A">
        <w:rPr>
          <w:i/>
          <w:iCs/>
        </w:rPr>
        <w:t>Id</w:t>
      </w:r>
      <w:r w:rsidR="005B516A">
        <w:t xml:space="preserve">. at 1165. </w:t>
      </w:r>
      <w:r w:rsidR="00343637">
        <w:t xml:space="preserve">It is regularly used to label innocuous conduct as suspicious merely because the police have a hunch that criminal activity is afoot. But, “a mere hunch does not create reasonable suspicion.” </w:t>
      </w:r>
      <w:proofErr w:type="spellStart"/>
      <w:r w:rsidR="00343637" w:rsidRPr="00150FA7">
        <w:rPr>
          <w:i/>
          <w:iCs/>
        </w:rPr>
        <w:t>Navarette</w:t>
      </w:r>
      <w:proofErr w:type="spellEnd"/>
      <w:r w:rsidR="00343637">
        <w:rPr>
          <w:i/>
          <w:iCs/>
        </w:rPr>
        <w:t xml:space="preserve"> v. California</w:t>
      </w:r>
      <w:r w:rsidR="00343637">
        <w:t>, 572 U.S. 393, 397 (2014).</w:t>
      </w:r>
      <w:r>
        <w:t xml:space="preserve"> </w:t>
      </w:r>
      <w:r w:rsidR="00343637">
        <w:t xml:space="preserve">The Fourth Amendment requires that police have a reasonable articulable particularized suspicion that a person has committed a crime before the officer </w:t>
      </w:r>
      <w:r w:rsidR="004D4DCB">
        <w:t>may</w:t>
      </w:r>
      <w:r w:rsidR="00343637">
        <w:t xml:space="preserve"> conduct a stop. </w:t>
      </w:r>
      <w:r w:rsidR="00343637" w:rsidRPr="00056E89">
        <w:rPr>
          <w:i/>
          <w:iCs/>
          <w:color w:val="000000" w:themeColor="text1"/>
        </w:rPr>
        <w:t>Terry v. Ohio</w:t>
      </w:r>
      <w:r w:rsidR="00343637" w:rsidRPr="00056E89">
        <w:rPr>
          <w:color w:val="000000" w:themeColor="text1"/>
        </w:rPr>
        <w:t>, 392 U.S 1</w:t>
      </w:r>
      <w:r w:rsidR="00343637">
        <w:rPr>
          <w:color w:val="000000" w:themeColor="text1"/>
        </w:rPr>
        <w:t>, 26-27</w:t>
      </w:r>
      <w:r w:rsidR="00343637" w:rsidRPr="00056E89">
        <w:rPr>
          <w:color w:val="000000" w:themeColor="text1"/>
        </w:rPr>
        <w:t xml:space="preserve"> (1968)</w:t>
      </w:r>
      <w:r w:rsidR="00B23909">
        <w:rPr>
          <w:color w:val="000000" w:themeColor="text1"/>
        </w:rPr>
        <w:t>;</w:t>
      </w:r>
      <w:r w:rsidR="00B23909">
        <w:t xml:space="preserve"> </w:t>
      </w:r>
      <w:r w:rsidR="00B23909">
        <w:rPr>
          <w:i/>
        </w:rPr>
        <w:t xml:space="preserve">see also </w:t>
      </w:r>
      <w:r w:rsidR="00343637" w:rsidRPr="00EA07EF">
        <w:rPr>
          <w:i/>
          <w:iCs/>
        </w:rPr>
        <w:t>United States v. Sokolow</w:t>
      </w:r>
      <w:r w:rsidR="00343637">
        <w:t xml:space="preserve">, 490 U.S. 1, 7 (1989) (“Reasonable suspicion entails some minimal level of objective justification for making a stop – that is, something more than an inchoate and unparticularized suspicion or hunch….”). </w:t>
      </w:r>
    </w:p>
    <w:p w14:paraId="3BCC2342" w14:textId="2CC70C4A" w:rsidR="00343637" w:rsidRDefault="00B23909" w:rsidP="00343637">
      <w:pPr>
        <w:spacing w:line="480" w:lineRule="auto"/>
        <w:ind w:firstLine="720"/>
        <w:jc w:val="both"/>
      </w:pPr>
      <w:r>
        <w:t xml:space="preserve">The data collected by </w:t>
      </w:r>
      <w:r w:rsidR="00343637">
        <w:t xml:space="preserve">Professor Bloom </w:t>
      </w:r>
      <w:r>
        <w:t xml:space="preserve">shows </w:t>
      </w:r>
      <w:r w:rsidR="00343637">
        <w:t>that “blading” is typically used by police to</w:t>
      </w:r>
      <w:r w:rsidR="00343637" w:rsidRPr="00343637">
        <w:t xml:space="preserve"> </w:t>
      </w:r>
      <w:r w:rsidR="0074380D">
        <w:t>dress up their hunches with a technocratic label</w:t>
      </w:r>
      <w:r w:rsidR="004D4DCB">
        <w:t>, hoping</w:t>
      </w:r>
      <w:r w:rsidR="0074380D">
        <w:t xml:space="preserve"> that</w:t>
      </w:r>
      <w:r w:rsidR="004D4DCB">
        <w:t xml:space="preserve"> the label </w:t>
      </w:r>
      <w:r w:rsidR="0074380D">
        <w:t xml:space="preserve">will cause the court to defer to police expertise and </w:t>
      </w:r>
      <w:r w:rsidR="004D4DCB">
        <w:t>permit</w:t>
      </w:r>
      <w:r w:rsidR="0074380D">
        <w:t xml:space="preserve"> the Fourth Amendment intrusion. </w:t>
      </w:r>
      <w:r>
        <w:t xml:space="preserve">Bloom, </w:t>
      </w:r>
      <w:r>
        <w:rPr>
          <w:i/>
        </w:rPr>
        <w:t>supra</w:t>
      </w:r>
      <w:r w:rsidRPr="000D348D">
        <w:rPr>
          <w:iCs/>
        </w:rPr>
        <w:t>,</w:t>
      </w:r>
      <w:r>
        <w:rPr>
          <w:i/>
          <w:iCs/>
        </w:rPr>
        <w:t xml:space="preserve"> </w:t>
      </w:r>
      <w:r w:rsidR="00343637">
        <w:t>at 1166.</w:t>
      </w:r>
      <w:r w:rsidR="0074380D">
        <w:t xml:space="preserve"> But the United States Supreme Court </w:t>
      </w:r>
      <w:r>
        <w:t xml:space="preserve">prohibits </w:t>
      </w:r>
      <w:r w:rsidR="0074380D">
        <w:t xml:space="preserve">courts </w:t>
      </w:r>
      <w:r>
        <w:t>from deferring</w:t>
      </w:r>
      <w:r w:rsidR="0074380D">
        <w:t xml:space="preserve"> to the conclusory assertions of police officers when conducting Fourth Amendment analyses. </w:t>
      </w:r>
      <w:r w:rsidR="00343637" w:rsidRPr="00EA07EF">
        <w:rPr>
          <w:i/>
          <w:iCs/>
        </w:rPr>
        <w:t>Nathanson v. United States</w:t>
      </w:r>
      <w:r w:rsidR="00343637">
        <w:t>, 290 U.S. 41, 47 (1933)</w:t>
      </w:r>
      <w:r w:rsidR="005944AF">
        <w:t xml:space="preserve"> (“Mere affirmance of belief or suspicion is not enough.”)</w:t>
      </w:r>
      <w:r w:rsidR="00452268">
        <w:t xml:space="preserve">; </w:t>
      </w:r>
      <w:r w:rsidR="0074380D">
        <w:rPr>
          <w:i/>
        </w:rPr>
        <w:t xml:space="preserve">see also </w:t>
      </w:r>
      <w:r w:rsidR="00FD6746" w:rsidRPr="003C4232">
        <w:rPr>
          <w:i/>
          <w:iCs/>
        </w:rPr>
        <w:t>Aguilar v. Texas</w:t>
      </w:r>
      <w:r w:rsidR="00FD6746">
        <w:t xml:space="preserve">, 378 U.S. 108, 115 (1964) (noting that reasonable suspicion and probable cause analyses should not be </w:t>
      </w:r>
      <w:r w:rsidR="00FD6746">
        <w:lastRenderedPageBreak/>
        <w:t>based on conclusions drawn “by a police officer engaged in the often competitive enterprise of ferreting out crime”) (internal quotations omitted)</w:t>
      </w:r>
      <w:r w:rsidR="00FD6746">
        <w:t xml:space="preserve">; </w:t>
      </w:r>
      <w:proofErr w:type="spellStart"/>
      <w:r w:rsidR="0074380D" w:rsidRPr="00BE311F">
        <w:rPr>
          <w:i/>
          <w:iCs/>
        </w:rPr>
        <w:t>Chesnut</w:t>
      </w:r>
      <w:proofErr w:type="spellEnd"/>
      <w:r w:rsidR="0074380D" w:rsidRPr="00BE311F">
        <w:rPr>
          <w:i/>
          <w:iCs/>
        </w:rPr>
        <w:t xml:space="preserve"> v. Wallace</w:t>
      </w:r>
      <w:r w:rsidR="0074380D">
        <w:t xml:space="preserve">, 947 F.3d 1085, 1092 (8th Cir. 2020) (A </w:t>
      </w:r>
      <w:r w:rsidR="00343637">
        <w:t>“vague, conclusory statement that a person is suspicious is insufficiently specific to support his detention by the police”</w:t>
      </w:r>
      <w:r w:rsidR="0074380D">
        <w:t>)</w:t>
      </w:r>
      <w:r w:rsidR="003233E4">
        <w:t xml:space="preserve">. </w:t>
      </w:r>
    </w:p>
    <w:p w14:paraId="76B8227E" w14:textId="34963FFC" w:rsidR="0034198B" w:rsidRDefault="0074380D" w:rsidP="00F95223">
      <w:pPr>
        <w:spacing w:line="480" w:lineRule="auto"/>
        <w:ind w:firstLine="720"/>
        <w:jc w:val="both"/>
      </w:pPr>
      <w:r>
        <w:t xml:space="preserve">The “blading” label also fails </w:t>
      </w:r>
      <w:r>
        <w:rPr>
          <w:i/>
        </w:rPr>
        <w:t>Terry</w:t>
      </w:r>
      <w:r>
        <w:t>’s requirement that any suspicion be articulable and particularized, because blading means contradictory things.</w:t>
      </w:r>
      <w:r w:rsidR="004D4DCB">
        <w:t xml:space="preserve"> </w:t>
      </w:r>
      <w:r>
        <w:t xml:space="preserve">As the above list indicates, a person </w:t>
      </w:r>
      <w:r w:rsidR="004D4DCB">
        <w:t>who is standing is “blading</w:t>
      </w:r>
      <w:r w:rsidR="002543A7">
        <w:t>,</w:t>
      </w:r>
      <w:r w:rsidR="004D4DCB">
        <w:t xml:space="preserve">” </w:t>
      </w:r>
      <w:r w:rsidR="002543A7">
        <w:t xml:space="preserve">but so is </w:t>
      </w:r>
      <w:r w:rsidR="004D4DCB">
        <w:t>a person who is moving</w:t>
      </w:r>
      <w:r w:rsidR="002543A7">
        <w:t xml:space="preserve">. </w:t>
      </w:r>
      <w:r w:rsidR="004D4DCB">
        <w:t>If a suspect walks away, they are “blading</w:t>
      </w:r>
      <w:r w:rsidR="00B23909">
        <w:t>,</w:t>
      </w:r>
      <w:r w:rsidR="004D4DCB">
        <w:t>” but if they s</w:t>
      </w:r>
      <w:r w:rsidR="002750EC">
        <w:t>t</w:t>
      </w:r>
      <w:r w:rsidR="004D4DCB">
        <w:t>ay to fight, they are also “blading.” Professor Bloom put it best when she said that “[</w:t>
      </w:r>
      <w:proofErr w:type="spellStart"/>
      <w:r w:rsidR="004D4DCB">
        <w:t>i</w:t>
      </w:r>
      <w:proofErr w:type="spellEnd"/>
      <w:r w:rsidR="004D4DCB">
        <w:t>]</w:t>
      </w:r>
      <w:r w:rsidR="00C0711F">
        <w:t>t defies reason that a person can be retreating from a police officer and repeatedly looking back over their shoulder while also maintaining a fighting stance that supports the inference that they may physically attack the officer.</w:t>
      </w:r>
      <w:r w:rsidR="00343637">
        <w:t>”</w:t>
      </w:r>
      <w:r w:rsidR="004D4DCB">
        <w:t xml:space="preserve"> </w:t>
      </w:r>
      <w:r w:rsidR="00CB6AA0">
        <w:t xml:space="preserve">Bloom, </w:t>
      </w:r>
      <w:r w:rsidR="002750EC">
        <w:rPr>
          <w:i/>
          <w:iCs/>
        </w:rPr>
        <w:t>supra</w:t>
      </w:r>
      <w:r w:rsidR="00CB6AA0">
        <w:t>, at 1165</w:t>
      </w:r>
      <w:r>
        <w:t>.</w:t>
      </w:r>
      <w:r w:rsidR="004D4DCB">
        <w:t xml:space="preserve"> </w:t>
      </w:r>
      <w:r>
        <w:t>Importantly, Professor Bloom found contradictory definitions of blading even within the same jurisdiction.</w:t>
      </w:r>
      <w:r w:rsidR="003233E4">
        <w:t xml:space="preserve"> </w:t>
      </w:r>
      <w:r w:rsidR="003233E4" w:rsidRPr="003C4232">
        <w:rPr>
          <w:i/>
          <w:iCs/>
        </w:rPr>
        <w:t>Id</w:t>
      </w:r>
      <w:r w:rsidR="003233E4">
        <w:t>. at 1158.</w:t>
      </w:r>
      <w:r>
        <w:t xml:space="preserve"> The fact that </w:t>
      </w:r>
      <w:r w:rsidR="00E709D9">
        <w:t>“</w:t>
      </w:r>
      <w:r>
        <w:t>blading</w:t>
      </w:r>
      <w:r w:rsidR="00E709D9">
        <w:t>”</w:t>
      </w:r>
      <w:r>
        <w:t xml:space="preserve"> means different things to different officers shows that it is not actually describing particularized and articulable suspect behavior.</w:t>
      </w:r>
      <w:r w:rsidR="004D4DCB">
        <w:t xml:space="preserve"> </w:t>
      </w:r>
      <w:r>
        <w:t xml:space="preserve">Instead, it is an overarching label that police use to justify stops when they can’t cite to specific, suspicious behaviors. </w:t>
      </w:r>
    </w:p>
    <w:p w14:paraId="53004C5D" w14:textId="2EFFEB6D" w:rsidR="0021558A" w:rsidRDefault="0074380D" w:rsidP="00F95223">
      <w:pPr>
        <w:pStyle w:val="ListParagraph"/>
        <w:numPr>
          <w:ilvl w:val="0"/>
          <w:numId w:val="8"/>
        </w:numPr>
        <w:jc w:val="both"/>
        <w:rPr>
          <w:b/>
          <w:bCs/>
        </w:rPr>
      </w:pPr>
      <w:r>
        <w:rPr>
          <w:b/>
          <w:bCs/>
        </w:rPr>
        <w:t>“Blading” is a</w:t>
      </w:r>
      <w:r w:rsidR="009C2977">
        <w:rPr>
          <w:b/>
          <w:bCs/>
        </w:rPr>
        <w:t xml:space="preserve"> particularly amorphous term when applied to Black and brown individuals who have been trained to fear </w:t>
      </w:r>
      <w:r w:rsidR="00C96D9C">
        <w:rPr>
          <w:b/>
          <w:bCs/>
        </w:rPr>
        <w:t>and avoid police contact</w:t>
      </w:r>
      <w:r w:rsidR="00E97A12">
        <w:rPr>
          <w:b/>
          <w:bCs/>
        </w:rPr>
        <w:t xml:space="preserve"> and whose behavior is often coded </w:t>
      </w:r>
      <w:r w:rsidR="002543A7">
        <w:rPr>
          <w:b/>
          <w:bCs/>
        </w:rPr>
        <w:t xml:space="preserve">as </w:t>
      </w:r>
      <w:r w:rsidR="00E97A12">
        <w:rPr>
          <w:b/>
          <w:bCs/>
        </w:rPr>
        <w:t>improperly</w:t>
      </w:r>
      <w:r w:rsidR="002543A7">
        <w:rPr>
          <w:b/>
          <w:bCs/>
        </w:rPr>
        <w:t xml:space="preserve"> suspicious </w:t>
      </w:r>
      <w:r w:rsidR="00E56297">
        <w:rPr>
          <w:b/>
          <w:bCs/>
        </w:rPr>
        <w:t>because of</w:t>
      </w:r>
      <w:r w:rsidR="002543A7">
        <w:rPr>
          <w:b/>
          <w:bCs/>
        </w:rPr>
        <w:t xml:space="preserve"> </w:t>
      </w:r>
      <w:r w:rsidR="00E97A12">
        <w:rPr>
          <w:b/>
          <w:bCs/>
        </w:rPr>
        <w:t>implicit biases</w:t>
      </w:r>
      <w:r w:rsidR="0021558A" w:rsidRPr="0021558A">
        <w:rPr>
          <w:b/>
          <w:bCs/>
        </w:rPr>
        <w:t xml:space="preserve">. </w:t>
      </w:r>
    </w:p>
    <w:p w14:paraId="3AADE8D9" w14:textId="77777777" w:rsidR="00294C2C" w:rsidRDefault="00294C2C" w:rsidP="00F95223">
      <w:pPr>
        <w:jc w:val="both"/>
        <w:rPr>
          <w:b/>
          <w:bCs/>
        </w:rPr>
      </w:pPr>
    </w:p>
    <w:p w14:paraId="3B60206E" w14:textId="690D0747" w:rsidR="008248A3" w:rsidRDefault="000529B9" w:rsidP="00D3220D">
      <w:pPr>
        <w:spacing w:line="480" w:lineRule="auto"/>
        <w:ind w:firstLine="720"/>
        <w:jc w:val="both"/>
      </w:pPr>
      <w:r>
        <w:t>“</w:t>
      </w:r>
      <w:r w:rsidR="002E6FFD">
        <w:t>Blading</w:t>
      </w:r>
      <w:r>
        <w:t>”</w:t>
      </w:r>
      <w:r w:rsidR="002E6FFD">
        <w:t xml:space="preserve"> </w:t>
      </w:r>
      <w:r w:rsidR="00175EFF">
        <w:t>carries even less weight</w:t>
      </w:r>
      <w:r w:rsidR="002E6FFD">
        <w:t xml:space="preserve"> when applied to Black and brown communities</w:t>
      </w:r>
      <w:r w:rsidR="00854914">
        <w:t xml:space="preserve">. </w:t>
      </w:r>
      <w:r w:rsidR="002A54F2">
        <w:t xml:space="preserve">Anxious behavior </w:t>
      </w:r>
      <w:r w:rsidR="00854914">
        <w:t>by Black and brown individuals</w:t>
      </w:r>
      <w:r w:rsidR="00C96D9C">
        <w:t xml:space="preserve"> </w:t>
      </w:r>
      <w:r w:rsidR="00854914">
        <w:t>in the presence of police officers is</w:t>
      </w:r>
      <w:r w:rsidR="00C96D9C">
        <w:t xml:space="preserve"> often</w:t>
      </w:r>
      <w:r w:rsidR="00854914">
        <w:t xml:space="preserve"> </w:t>
      </w:r>
      <w:r w:rsidR="00C96D9C">
        <w:t xml:space="preserve">attributable </w:t>
      </w:r>
      <w:r w:rsidR="00854914">
        <w:t>to fear of police violenc</w:t>
      </w:r>
      <w:r w:rsidR="00C96D9C">
        <w:t>e rather than indicative of criminal activity</w:t>
      </w:r>
      <w:r w:rsidR="00854914">
        <w:t>.</w:t>
      </w:r>
      <w:r w:rsidR="008B1C4B">
        <w:t xml:space="preserve"> </w:t>
      </w:r>
      <w:r w:rsidR="008B1C4B" w:rsidRPr="00E56297">
        <w:rPr>
          <w:i/>
          <w:iCs/>
        </w:rPr>
        <w:t>Id</w:t>
      </w:r>
      <w:r w:rsidR="008B1C4B">
        <w:t xml:space="preserve">. at 1144-45. </w:t>
      </w:r>
      <w:r w:rsidR="002E6FFD">
        <w:t xml:space="preserve"> </w:t>
      </w:r>
      <w:r w:rsidR="00C96D9C">
        <w:t xml:space="preserve">Decades of research show </w:t>
      </w:r>
      <w:r w:rsidR="0034198B">
        <w:t>that</w:t>
      </w:r>
      <w:r w:rsidR="0042538A">
        <w:t xml:space="preserve"> Black</w:t>
      </w:r>
      <w:r w:rsidR="0074380D">
        <w:t xml:space="preserve"> and brown</w:t>
      </w:r>
      <w:r w:rsidR="0042538A">
        <w:t xml:space="preserve"> individual</w:t>
      </w:r>
      <w:r w:rsidR="0034198B">
        <w:t xml:space="preserve">s </w:t>
      </w:r>
      <w:r w:rsidR="0042538A">
        <w:t xml:space="preserve">react </w:t>
      </w:r>
      <w:r w:rsidR="0034198B">
        <w:t>differently when approached by the police</w:t>
      </w:r>
      <w:r w:rsidR="0042538A">
        <w:t xml:space="preserve">. </w:t>
      </w:r>
    </w:p>
    <w:p w14:paraId="09A34283" w14:textId="72B30D0E" w:rsidR="00B75ED7" w:rsidRDefault="00C96D9C" w:rsidP="00F95223">
      <w:pPr>
        <w:spacing w:line="480" w:lineRule="auto"/>
        <w:ind w:firstLine="720"/>
        <w:jc w:val="both"/>
      </w:pPr>
      <w:r>
        <w:lastRenderedPageBreak/>
        <w:t xml:space="preserve">For example, when </w:t>
      </w:r>
      <w:r w:rsidR="00AD6E52">
        <w:t>Professor Brittany Fox-Williams at Columbia University</w:t>
      </w:r>
      <w:r>
        <w:t xml:space="preserve"> interviewed</w:t>
      </w:r>
      <w:r w:rsidR="00FD6746">
        <w:t xml:space="preserve"> </w:t>
      </w:r>
      <w:r w:rsidR="00AD6E52">
        <w:t xml:space="preserve">young Black </w:t>
      </w:r>
      <w:r w:rsidR="00274911">
        <w:t>community members</w:t>
      </w:r>
      <w:r w:rsidR="00AD6E52">
        <w:t xml:space="preserve"> in New York City about their experiences </w:t>
      </w:r>
      <w:r w:rsidR="0034198B">
        <w:t>with the police</w:t>
      </w:r>
      <w:r>
        <w:t>, she heard most of them describe</w:t>
      </w:r>
      <w:r w:rsidR="00AD6E52">
        <w:t xml:space="preserve"> “feeling a wave of anxiety when passing a police officer on the street or spotting a police vehicle. . . . This fear loomed even when they were not guilty of any wrongdoing.” </w:t>
      </w:r>
      <w:r w:rsidR="00AD6E52" w:rsidRPr="00AD6E52">
        <w:t xml:space="preserve">Brittany N. Fox-Williams, </w:t>
      </w:r>
      <w:r w:rsidR="00AD6E52" w:rsidRPr="00AD6E52">
        <w:rPr>
          <w:i/>
          <w:iCs/>
        </w:rPr>
        <w:t>The Rules of (Dis)engagement: Black Youth and Their Strategies for Navigating Police Contact</w:t>
      </w:r>
      <w:r w:rsidR="00AD6E52" w:rsidRPr="00AD6E52">
        <w:t xml:space="preserve">, </w:t>
      </w:r>
      <w:r w:rsidR="00AD6E52" w:rsidRPr="00AD6E52">
        <w:rPr>
          <w:smallCaps/>
        </w:rPr>
        <w:t>34 Soc. Forum 115</w:t>
      </w:r>
      <w:r w:rsidR="00AD6E52" w:rsidRPr="00AD6E52">
        <w:t>, 118, 123–27 (2019).</w:t>
      </w:r>
      <w:r w:rsidR="00AD6E52">
        <w:t xml:space="preserve"> </w:t>
      </w:r>
      <w:r w:rsidR="00E56297">
        <w:t>For this reason, m</w:t>
      </w:r>
      <w:r w:rsidR="005C2349">
        <w:t xml:space="preserve">any Black </w:t>
      </w:r>
      <w:r w:rsidR="00FD6746">
        <w:t xml:space="preserve">and brown </w:t>
      </w:r>
      <w:r w:rsidR="005C2349">
        <w:t>parents feel a responsibility to give their children “The Talk</w:t>
      </w:r>
      <w:r w:rsidR="00FD6746">
        <w:t>,</w:t>
      </w:r>
      <w:r w:rsidR="003E0140">
        <w:t>”</w:t>
      </w:r>
      <w:r w:rsidR="00FD6746">
        <w:t xml:space="preserve"> which provides</w:t>
      </w:r>
      <w:r w:rsidR="003E0140">
        <w:t xml:space="preserve"> </w:t>
      </w:r>
      <w:r w:rsidR="00FD6746">
        <w:t xml:space="preserve">children with </w:t>
      </w:r>
      <w:r w:rsidR="003E0140">
        <w:t>detailed instructions on how to interact with the police</w:t>
      </w:r>
      <w:r w:rsidR="00FD6746">
        <w:t>. Black and brown kids are told</w:t>
      </w:r>
      <w:r w:rsidR="003E0140">
        <w:t xml:space="preserve"> </w:t>
      </w:r>
      <w:r w:rsidR="005C2349">
        <w:t>“to keep the</w:t>
      </w:r>
      <w:r w:rsidR="00E163AA">
        <w:t>i</w:t>
      </w:r>
      <w:r w:rsidR="005C2349">
        <w:t xml:space="preserve">r hands where police can see them, avoid sudden movements, and behave in a courteous and respectful manner toward officers.” </w:t>
      </w:r>
      <w:r w:rsidR="005C2349" w:rsidRPr="005C2349">
        <w:t xml:space="preserve">Kristin Henning, </w:t>
      </w:r>
      <w:proofErr w:type="gramStart"/>
      <w:r w:rsidR="005C2349" w:rsidRPr="005C2349">
        <w:rPr>
          <w:i/>
          <w:iCs/>
        </w:rPr>
        <w:t>The</w:t>
      </w:r>
      <w:proofErr w:type="gramEnd"/>
      <w:r w:rsidR="005C2349" w:rsidRPr="005C2349">
        <w:rPr>
          <w:i/>
          <w:iCs/>
        </w:rPr>
        <w:t xml:space="preserve"> Reasonable Black Child: Race, Adolescence, and the Fourth Amendment</w:t>
      </w:r>
      <w:r w:rsidR="005C2349" w:rsidRPr="005C2349">
        <w:t xml:space="preserve">, 67 </w:t>
      </w:r>
      <w:r w:rsidR="005C2349" w:rsidRPr="00FD6746">
        <w:rPr>
          <w:smallCaps/>
        </w:rPr>
        <w:t>Am. U. L. Rev.</w:t>
      </w:r>
      <w:r w:rsidR="005C2349" w:rsidRPr="005C2349">
        <w:t xml:space="preserve"> 1513, 1531 (2018)</w:t>
      </w:r>
      <w:r w:rsidR="005C2349">
        <w:t>. For Black</w:t>
      </w:r>
      <w:r w:rsidR="00FD6746">
        <w:t xml:space="preserve"> and brown</w:t>
      </w:r>
      <w:r w:rsidR="005C2349">
        <w:t xml:space="preserve"> youth then, their “perceptions of law enforcement are shaped by the vicarious and collective experiences of their friends and family members.” </w:t>
      </w:r>
      <w:r w:rsidR="005C2349" w:rsidRPr="003C4232">
        <w:rPr>
          <w:i/>
          <w:iCs/>
        </w:rPr>
        <w:t>Id</w:t>
      </w:r>
      <w:r w:rsidR="005C2349">
        <w:t xml:space="preserve">. at 1530. </w:t>
      </w:r>
      <w:r w:rsidR="00E163AA">
        <w:t xml:space="preserve">“Many [B]lack youth . . . transfer negative attitudes and resentments about the police from one generation to the next as youth internalize the negative experiences of their community.” </w:t>
      </w:r>
      <w:r w:rsidR="00E163AA" w:rsidRPr="003C4232">
        <w:rPr>
          <w:i/>
          <w:iCs/>
        </w:rPr>
        <w:t>Id</w:t>
      </w:r>
      <w:r w:rsidR="00E163AA">
        <w:t xml:space="preserve">. at 1531. </w:t>
      </w:r>
    </w:p>
    <w:p w14:paraId="2C979EBF" w14:textId="4F6F9472" w:rsidR="00AD6E52" w:rsidRPr="0034198B" w:rsidRDefault="00AD6E52" w:rsidP="00F95223">
      <w:pPr>
        <w:spacing w:line="480" w:lineRule="auto"/>
        <w:ind w:firstLine="720"/>
        <w:jc w:val="both"/>
      </w:pPr>
      <w:r>
        <w:t>For young Black</w:t>
      </w:r>
      <w:r w:rsidR="0045647B">
        <w:t xml:space="preserve"> </w:t>
      </w:r>
      <w:r w:rsidR="00B75ED7">
        <w:t xml:space="preserve">and brown </w:t>
      </w:r>
      <w:r w:rsidR="0045647B">
        <w:t>individuals</w:t>
      </w:r>
      <w:r>
        <w:t xml:space="preserve">, </w:t>
      </w:r>
      <w:r w:rsidR="0045647B">
        <w:t>coping with anxiety</w:t>
      </w:r>
      <w:r w:rsidR="00B75ED7">
        <w:t xml:space="preserve"> about police interactions</w:t>
      </w:r>
      <w:r>
        <w:t xml:space="preserve"> </w:t>
      </w:r>
      <w:r w:rsidR="00B75ED7">
        <w:t xml:space="preserve">means </w:t>
      </w:r>
      <w:r w:rsidR="0045647B">
        <w:t>“averting their gaze away from the direction of officers,” “clutch[</w:t>
      </w:r>
      <w:proofErr w:type="spellStart"/>
      <w:r w:rsidR="0045647B">
        <w:t>ing</w:t>
      </w:r>
      <w:proofErr w:type="spellEnd"/>
      <w:r w:rsidR="0045647B">
        <w:t xml:space="preserve"> their bag] and get[ting] tense,” or “speed walk[</w:t>
      </w:r>
      <w:proofErr w:type="spellStart"/>
      <w:r w:rsidR="0045647B">
        <w:t>ing</w:t>
      </w:r>
      <w:proofErr w:type="spellEnd"/>
      <w:r w:rsidR="0045647B">
        <w:t xml:space="preserve">].” </w:t>
      </w:r>
      <w:r w:rsidR="00E163AA">
        <w:t xml:space="preserve">Fox-Williams, </w:t>
      </w:r>
      <w:r w:rsidR="00E56297">
        <w:rPr>
          <w:i/>
          <w:iCs/>
        </w:rPr>
        <w:t>supra</w:t>
      </w:r>
      <w:r w:rsidR="00E163AA">
        <w:t>,</w:t>
      </w:r>
      <w:r w:rsidR="0045647B">
        <w:t xml:space="preserve"> at 125. All these behaviors </w:t>
      </w:r>
      <w:r w:rsidR="00C96D9C">
        <w:t xml:space="preserve">have been </w:t>
      </w:r>
      <w:r w:rsidR="0045647B">
        <w:t xml:space="preserve">described as </w:t>
      </w:r>
      <w:r w:rsidR="000529B9">
        <w:t>“</w:t>
      </w:r>
      <w:r w:rsidR="0045647B">
        <w:t>blading.</w:t>
      </w:r>
      <w:r w:rsidR="000529B9">
        <w:t>”</w:t>
      </w:r>
      <w:r w:rsidR="00D3220D">
        <w:t xml:space="preserve"> </w:t>
      </w:r>
      <w:r w:rsidR="00B75ED7">
        <w:t xml:space="preserve">A </w:t>
      </w:r>
      <w:r w:rsidR="00274911">
        <w:t xml:space="preserve">young Black </w:t>
      </w:r>
      <w:r w:rsidR="00E56297">
        <w:t>person</w:t>
      </w:r>
      <w:r w:rsidR="00B75ED7">
        <w:t xml:space="preserve"> who turns</w:t>
      </w:r>
      <w:r w:rsidR="00274911">
        <w:t xml:space="preserve"> their body </w:t>
      </w:r>
      <w:r w:rsidR="00B75ED7">
        <w:t xml:space="preserve">away from police is often doing exactly what their parents and grandparents have told them to do: avoid the police at all costs. </w:t>
      </w:r>
    </w:p>
    <w:p w14:paraId="60DA1774" w14:textId="49F97A58" w:rsidR="008B43FE" w:rsidRDefault="00086368" w:rsidP="00F95223">
      <w:pPr>
        <w:spacing w:line="480" w:lineRule="auto"/>
        <w:ind w:firstLine="720"/>
        <w:jc w:val="both"/>
      </w:pPr>
      <w:r>
        <w:t xml:space="preserve">By </w:t>
      </w:r>
      <w:r w:rsidR="00B75ED7">
        <w:t>labeling</w:t>
      </w:r>
      <w:r w:rsidR="008B43FE">
        <w:t xml:space="preserve"> </w:t>
      </w:r>
      <w:r w:rsidR="00274911">
        <w:t xml:space="preserve">behavior indicative of fear as </w:t>
      </w:r>
      <w:r w:rsidR="000529B9">
        <w:t>“</w:t>
      </w:r>
      <w:r w:rsidR="00274911">
        <w:t>blading</w:t>
      </w:r>
      <w:r w:rsidR="000529B9">
        <w:t xml:space="preserve">,” </w:t>
      </w:r>
      <w:r>
        <w:t xml:space="preserve">officers </w:t>
      </w:r>
      <w:r w:rsidR="00B75ED7">
        <w:t xml:space="preserve">make </w:t>
      </w:r>
      <w:r>
        <w:t>the innocuous</w:t>
      </w:r>
      <w:r w:rsidR="00B75ED7">
        <w:t xml:space="preserve"> seem </w:t>
      </w:r>
      <w:r>
        <w:t>suspicious</w:t>
      </w:r>
      <w:r w:rsidR="008B43FE">
        <w:t xml:space="preserve">. Fundamentally, </w:t>
      </w:r>
      <w:r w:rsidR="000529B9">
        <w:t>“</w:t>
      </w:r>
      <w:r w:rsidR="008B43FE">
        <w:t>b</w:t>
      </w:r>
      <w:r w:rsidR="00EE3639">
        <w:t>lading</w:t>
      </w:r>
      <w:r w:rsidR="000529B9">
        <w:t>”</w:t>
      </w:r>
      <w:r w:rsidR="00EE3639">
        <w:t xml:space="preserve"> serves as proxy for an officer’s </w:t>
      </w:r>
      <w:r w:rsidR="00B75ED7">
        <w:t>hunch</w:t>
      </w:r>
      <w:r w:rsidR="00EE3639">
        <w:t xml:space="preserve"> about a person’s criminality. </w:t>
      </w:r>
      <w:r w:rsidR="00764421">
        <w:t>It becomes an automatic trigger for a stop and inquiry. Such a</w:t>
      </w:r>
      <w:r w:rsidR="00EE3639">
        <w:t xml:space="preserve"> “nebulous term is highly </w:t>
      </w:r>
      <w:r w:rsidR="00EE3639">
        <w:lastRenderedPageBreak/>
        <w:t xml:space="preserve">susceptible to implicit biases and racialized applications.” </w:t>
      </w:r>
      <w:r w:rsidR="00A64282">
        <w:t xml:space="preserve">Bloom, </w:t>
      </w:r>
      <w:r w:rsidR="00E56297">
        <w:rPr>
          <w:i/>
          <w:iCs/>
        </w:rPr>
        <w:t>supra</w:t>
      </w:r>
      <w:r w:rsidR="00A64282">
        <w:t xml:space="preserve"> at </w:t>
      </w:r>
      <w:r w:rsidR="00EE3639">
        <w:t>1179.</w:t>
      </w:r>
      <w:r w:rsidR="00764421">
        <w:t xml:space="preserve"> </w:t>
      </w:r>
      <w:r w:rsidR="00B75ED7">
        <w:t>In fact, police behavior may actually cause a suspect to engage in actions that the police then label as “blading.”</w:t>
      </w:r>
      <w:r w:rsidR="00B75ED7" w:rsidRPr="00B75ED7">
        <w:t xml:space="preserve"> </w:t>
      </w:r>
      <w:r w:rsidR="00FD6746">
        <w:t>Dean</w:t>
      </w:r>
      <w:r w:rsidR="00D42D21">
        <w:t xml:space="preserve"> </w:t>
      </w:r>
      <w:r w:rsidR="00B75ED7">
        <w:t>L. Song Richardson</w:t>
      </w:r>
      <w:r w:rsidR="00FD6746">
        <w:t xml:space="preserve"> from </w:t>
      </w:r>
      <w:r w:rsidR="00E56297">
        <w:t>the</w:t>
      </w:r>
      <w:r w:rsidR="00D42D21">
        <w:t xml:space="preserve"> University </w:t>
      </w:r>
      <w:proofErr w:type="gramStart"/>
      <w:r w:rsidR="00D42D21">
        <w:t>of California Irvine School of</w:t>
      </w:r>
      <w:proofErr w:type="gramEnd"/>
      <w:r w:rsidR="00D42D21">
        <w:t xml:space="preserve"> Law researches the intersection between psychology and policing</w:t>
      </w:r>
      <w:r w:rsidR="00FD6746">
        <w:t xml:space="preserve"> and</w:t>
      </w:r>
      <w:r w:rsidR="00D42D21">
        <w:t xml:space="preserve"> </w:t>
      </w:r>
      <w:r w:rsidR="00B75ED7">
        <w:t>describes how stereotype</w:t>
      </w:r>
      <w:r w:rsidR="00B75ED7" w:rsidRPr="007912E7">
        <w:t xml:space="preserve"> biases </w:t>
      </w:r>
      <w:r w:rsidR="00FD6746">
        <w:t>may cause</w:t>
      </w:r>
      <w:r w:rsidR="00B75ED7">
        <w:t xml:space="preserve"> police officers to act more aggressively with racial minorities. </w:t>
      </w:r>
      <w:r w:rsidR="003E0140" w:rsidRPr="007912E7">
        <w:t>L. Song Richardson</w:t>
      </w:r>
      <w:r w:rsidR="003E0140" w:rsidRPr="007912E7">
        <w:rPr>
          <w:i/>
          <w:iCs/>
        </w:rPr>
        <w:t xml:space="preserve">, Arrest Efficiency and the Fourth Amendment, </w:t>
      </w:r>
      <w:r w:rsidR="003E0140" w:rsidRPr="007912E7">
        <w:t>95 MINN. L. REV. 2035, 2039, 2044–53 (2011)</w:t>
      </w:r>
      <w:r w:rsidR="003E0140">
        <w:t xml:space="preserve">.  </w:t>
      </w:r>
      <w:r w:rsidR="00B75ED7">
        <w:t>These overly aggressive approaches</w:t>
      </w:r>
      <w:r w:rsidR="00FD6746">
        <w:t>, in turn,</w:t>
      </w:r>
      <w:r w:rsidR="00B75ED7">
        <w:t xml:space="preserve"> cause young Black men to behave in nervous and evasive ways (which could be characterized as blading). That nervous or evasive behavior then confirms the officers’ implicit bias</w:t>
      </w:r>
      <w:r w:rsidR="00DC791F">
        <w:t>es</w:t>
      </w:r>
      <w:r w:rsidR="00B75ED7">
        <w:t xml:space="preserve"> and encourages them to pursue more intrusive action</w:t>
      </w:r>
      <w:r w:rsidR="00E97A12">
        <w:t>s</w:t>
      </w:r>
      <w:r w:rsidR="00B75ED7">
        <w:t xml:space="preserve"> like </w:t>
      </w:r>
      <w:r w:rsidR="00E97A12">
        <w:t>stops, frisks, arrests, and the use of force</w:t>
      </w:r>
      <w:r w:rsidR="00B75ED7">
        <w:t xml:space="preserve">. </w:t>
      </w:r>
      <w:r w:rsidR="003E0140" w:rsidRPr="003E0140">
        <w:rPr>
          <w:i/>
          <w:iCs/>
        </w:rPr>
        <w:t>Id</w:t>
      </w:r>
      <w:r w:rsidR="003E0140">
        <w:t>.</w:t>
      </w:r>
      <w:r w:rsidR="00E97A12">
        <w:t xml:space="preserve"> Given this cycle, i</w:t>
      </w:r>
      <w:r w:rsidR="008B43FE">
        <w:t xml:space="preserve">t is no surprise that </w:t>
      </w:r>
      <w:r w:rsidR="000529B9">
        <w:t>“</w:t>
      </w:r>
      <w:r w:rsidR="008B43FE">
        <w:t>blading</w:t>
      </w:r>
      <w:r w:rsidR="000529B9">
        <w:t>”</w:t>
      </w:r>
      <w:r w:rsidR="008B43FE">
        <w:t xml:space="preserve"> is applied almost exclusively to </w:t>
      </w:r>
      <w:r w:rsidR="00274911">
        <w:t>young Black and brown</w:t>
      </w:r>
      <w:r w:rsidR="008B43FE">
        <w:t xml:space="preserve"> individuals. </w:t>
      </w:r>
      <w:r w:rsidR="00872C7E">
        <w:t>As applied to Black and brown youth, the term “blading” often reflects nothing more than innocent behaviors that are the product of fear or are themselves triggered by or misinterpreted because of implicit biases.</w:t>
      </w:r>
    </w:p>
    <w:p w14:paraId="547B87F8" w14:textId="448FE768" w:rsidR="00341293" w:rsidRDefault="00341293" w:rsidP="00A81D13">
      <w:pPr>
        <w:pStyle w:val="ListParagraph"/>
        <w:numPr>
          <w:ilvl w:val="0"/>
          <w:numId w:val="8"/>
        </w:numPr>
        <w:jc w:val="both"/>
        <w:rPr>
          <w:b/>
        </w:rPr>
      </w:pPr>
      <w:r w:rsidRPr="00F95223">
        <w:rPr>
          <w:b/>
        </w:rPr>
        <w:t>This Court should join others around the country that have discounted police reliance on blading and similar generic characterizations of suspect behavior in the reasonable suspicion analysis.</w:t>
      </w:r>
    </w:p>
    <w:p w14:paraId="1B0C99D2" w14:textId="77777777" w:rsidR="00A81D13" w:rsidRPr="00A81D13" w:rsidRDefault="00A81D13" w:rsidP="00A81D13">
      <w:pPr>
        <w:pStyle w:val="ListParagraph"/>
        <w:jc w:val="both"/>
        <w:rPr>
          <w:b/>
        </w:rPr>
      </w:pPr>
    </w:p>
    <w:p w14:paraId="6A8F364F" w14:textId="0706BD35" w:rsidR="00E163AA" w:rsidRDefault="00232404" w:rsidP="00E163AA">
      <w:pPr>
        <w:spacing w:line="480" w:lineRule="auto"/>
        <w:ind w:firstLine="720"/>
        <w:jc w:val="both"/>
      </w:pPr>
      <w:r>
        <w:t xml:space="preserve">Courts around the county have </w:t>
      </w:r>
      <w:r w:rsidR="00D6194D">
        <w:t>begun rejecting</w:t>
      </w:r>
      <w:r>
        <w:t xml:space="preserve"> police reliance on the general </w:t>
      </w:r>
      <w:r w:rsidR="000529B9">
        <w:t>“</w:t>
      </w:r>
      <w:r>
        <w:t>blading</w:t>
      </w:r>
      <w:r w:rsidR="000529B9">
        <w:t>”</w:t>
      </w:r>
      <w:r>
        <w:t xml:space="preserve"> label. </w:t>
      </w:r>
      <w:r w:rsidR="0032255A">
        <w:rPr>
          <w:i/>
        </w:rPr>
        <w:t>See, e.g.</w:t>
      </w:r>
      <w:r w:rsidR="0032255A">
        <w:t xml:space="preserve">, </w:t>
      </w:r>
      <w:r w:rsidR="00A3393B" w:rsidRPr="00A3393B">
        <w:rPr>
          <w:i/>
          <w:iCs/>
        </w:rPr>
        <w:t>United States v. Dixon</w:t>
      </w:r>
      <w:r w:rsidR="00A3393B">
        <w:t xml:space="preserve">, No. 20-CR-368, 2021 WL 1662492 (S.D.N.Y. Apr. 28, 2021); </w:t>
      </w:r>
      <w:r w:rsidR="00EF418A" w:rsidRPr="00A3393B">
        <w:rPr>
          <w:i/>
          <w:iCs/>
        </w:rPr>
        <w:t>United States v. Hood</w:t>
      </w:r>
      <w:r w:rsidR="00EF418A">
        <w:t xml:space="preserve">, 435 F. Supp. 3d 1, 9 (D.D.C 2020); </w:t>
      </w:r>
      <w:r w:rsidR="00A3393B" w:rsidRPr="00A3393B">
        <w:rPr>
          <w:i/>
          <w:iCs/>
        </w:rPr>
        <w:t>State v. Pugh</w:t>
      </w:r>
      <w:r w:rsidR="00A3393B">
        <w:t xml:space="preserve">, 345 Wis. 2d 832 (Wisc. Ct. App. 2012); </w:t>
      </w:r>
      <w:r w:rsidR="005C2EF4" w:rsidRPr="005C2EF4">
        <w:rPr>
          <w:i/>
          <w:iCs/>
        </w:rPr>
        <w:t>People v. Williams</w:t>
      </w:r>
      <w:r w:rsidR="005C2EF4">
        <w:t>, 141 N.Y.S. 3d 224, 226 (N.Y. App. Div. 2021)</w:t>
      </w:r>
      <w:r w:rsidR="00A3393B">
        <w:t>.</w:t>
      </w:r>
      <w:r w:rsidR="00E163AA">
        <w:t xml:space="preserve"> </w:t>
      </w:r>
      <w:r w:rsidR="00BA2430">
        <w:t>For example, the United States District Court for the Southern District of New York has held that, because blading “</w:t>
      </w:r>
      <w:r w:rsidR="00EF418A">
        <w:t xml:space="preserve">is not sufficiently indicative of criminal </w:t>
      </w:r>
      <w:r w:rsidR="003C4232">
        <w:t>activity</w:t>
      </w:r>
      <w:r w:rsidR="00EF418A">
        <w:t>, and it is readily consis</w:t>
      </w:r>
      <w:r w:rsidR="00BA2430">
        <w:t xml:space="preserve">tent with innocent explanations[,] … </w:t>
      </w:r>
      <w:r w:rsidR="00BA2430">
        <w:t>mere blading is insufficient to support a stop</w:t>
      </w:r>
      <w:r w:rsidR="00BA2430">
        <w:t>.”</w:t>
      </w:r>
      <w:r w:rsidR="00EF418A">
        <w:t xml:space="preserve"> </w:t>
      </w:r>
      <w:r w:rsidR="00EF418A" w:rsidRPr="00990450">
        <w:rPr>
          <w:i/>
          <w:iCs/>
        </w:rPr>
        <w:t>Dixon</w:t>
      </w:r>
      <w:r w:rsidR="00EF418A">
        <w:t xml:space="preserve">, 2021 WL 1662492 at *12 (quoting </w:t>
      </w:r>
      <w:r w:rsidR="00EF418A" w:rsidRPr="005C2EF4">
        <w:rPr>
          <w:i/>
          <w:iCs/>
        </w:rPr>
        <w:t>United States v. Parker</w:t>
      </w:r>
      <w:r w:rsidR="00EF418A">
        <w:t xml:space="preserve">, 99-CR-123, 1999 WL 997282 (E.D.N.Y. Oct. </w:t>
      </w:r>
      <w:r w:rsidR="00EF418A">
        <w:lastRenderedPageBreak/>
        <w:t>18, 1999)).</w:t>
      </w:r>
      <w:r w:rsidR="00BA2430">
        <w:t xml:space="preserve"> </w:t>
      </w:r>
      <w:r w:rsidR="00EF418A">
        <w:t xml:space="preserve">In </w:t>
      </w:r>
      <w:r w:rsidR="00EF418A" w:rsidRPr="003C4232">
        <w:rPr>
          <w:i/>
          <w:iCs/>
        </w:rPr>
        <w:t>Dixon</w:t>
      </w:r>
      <w:r w:rsidR="00EF418A">
        <w:t xml:space="preserve">, </w:t>
      </w:r>
      <w:r w:rsidR="00E163AA">
        <w:t xml:space="preserve">three officers testified that they observed Mr. Dixon blading “the right side of his body away,” </w:t>
      </w:r>
      <w:r w:rsidR="00E56297">
        <w:t xml:space="preserve">suggesting </w:t>
      </w:r>
      <w:r w:rsidR="00E163AA">
        <w:t xml:space="preserve">that he was carrying “something illegal such as a weapon.” </w:t>
      </w:r>
      <w:r w:rsidR="00E56297" w:rsidRPr="003911A0">
        <w:rPr>
          <w:i/>
          <w:iCs/>
        </w:rPr>
        <w:t>Id</w:t>
      </w:r>
      <w:r w:rsidR="00E56297">
        <w:t xml:space="preserve">. at </w:t>
      </w:r>
      <w:r w:rsidR="003911A0">
        <w:t>*8. The</w:t>
      </w:r>
      <w:r w:rsidR="0016571C">
        <w:t xml:space="preserve"> </w:t>
      </w:r>
      <w:r w:rsidR="00D061B7">
        <w:t>court disagreed:</w:t>
      </w:r>
    </w:p>
    <w:p w14:paraId="13236BC3" w14:textId="7389212C" w:rsidR="00E163AA" w:rsidRDefault="00E163AA" w:rsidP="00E163AA">
      <w:pPr>
        <w:ind w:left="720" w:right="720"/>
        <w:jc w:val="both"/>
      </w:pPr>
      <w:r w:rsidRPr="00990450">
        <w:t>Regardless of the direction in which Defendant pivoted, or the precise location of the officers, the evidence clearly establishes that Defendant had been walking eastbound when he was approached from behind and turned toward Officer Greene when Officer Greene addressed him. In order to turn his head one hundred and eighty degrees so that he faced Officer Greene, his body would necessarily have pivoted. It is completely normal for someone, when called to by another walking behind him, to pivot his body so that he can see the person behind him.</w:t>
      </w:r>
    </w:p>
    <w:p w14:paraId="50E9E35E" w14:textId="77777777" w:rsidR="00E163AA" w:rsidRDefault="00E163AA" w:rsidP="00E163AA">
      <w:pPr>
        <w:ind w:left="720" w:right="720"/>
        <w:jc w:val="both"/>
      </w:pPr>
    </w:p>
    <w:p w14:paraId="6A40ED91" w14:textId="1A0FBA52" w:rsidR="009A5AE1" w:rsidRDefault="00BA2430" w:rsidP="009A5AE1">
      <w:pPr>
        <w:spacing w:line="480" w:lineRule="auto"/>
        <w:jc w:val="both"/>
      </w:pPr>
      <w:r w:rsidRPr="00BA2430">
        <w:rPr>
          <w:i/>
          <w:iCs/>
        </w:rPr>
        <w:t>Id.</w:t>
      </w:r>
      <w:r w:rsidR="00E163AA">
        <w:t xml:space="preserve"> at *12. Dixon’s so-called “blading” was in response to three officers’ presence and their commands</w:t>
      </w:r>
      <w:r w:rsidR="00EF418A">
        <w:t xml:space="preserve">. </w:t>
      </w:r>
      <w:r w:rsidR="00E163AA">
        <w:t xml:space="preserve">For Dixon, </w:t>
      </w:r>
      <w:r w:rsidR="009A5AE1">
        <w:t>turning his body was</w:t>
      </w:r>
      <w:r w:rsidR="00E163AA">
        <w:t xml:space="preserve"> simply </w:t>
      </w:r>
      <w:r>
        <w:t>a response</w:t>
      </w:r>
      <w:r w:rsidR="00E163AA">
        <w:t xml:space="preserve"> to the police. </w:t>
      </w:r>
      <w:r w:rsidR="00EF418A">
        <w:t>Dixon’s behavior was plainly innocuous and readily susceptible of an innocent explanation</w:t>
      </w:r>
      <w:r w:rsidR="00D061B7">
        <w:t xml:space="preserve">, and the court held that it </w:t>
      </w:r>
      <w:r w:rsidR="005927D6">
        <w:t>was insufficient to establish</w:t>
      </w:r>
      <w:r w:rsidR="00D061B7">
        <w:t xml:space="preserve"> reasonable suspicion</w:t>
      </w:r>
      <w:r w:rsidR="005927D6">
        <w:t xml:space="preserve"> of criminal activity</w:t>
      </w:r>
      <w:r w:rsidR="00EF418A">
        <w:t xml:space="preserve">. </w:t>
      </w:r>
      <w:r w:rsidR="003C4232" w:rsidRPr="003C4232">
        <w:rPr>
          <w:i/>
          <w:iCs/>
        </w:rPr>
        <w:t>Id</w:t>
      </w:r>
      <w:r w:rsidR="003C4232">
        <w:t xml:space="preserve">; </w:t>
      </w:r>
      <w:r w:rsidR="003C4232">
        <w:rPr>
          <w:i/>
          <w:iCs/>
        </w:rPr>
        <w:t>s</w:t>
      </w:r>
      <w:r w:rsidR="00EF418A" w:rsidRPr="003C4232">
        <w:rPr>
          <w:i/>
          <w:iCs/>
        </w:rPr>
        <w:t>ee also Hood</w:t>
      </w:r>
      <w:r w:rsidR="00EF418A">
        <w:t>, 435 F. Supp. 3d at 8 (</w:t>
      </w:r>
      <w:r w:rsidR="005927D6">
        <w:t>holding that police did not have reasonable suspicion and finding that</w:t>
      </w:r>
      <w:r w:rsidR="00EF418A">
        <w:t xml:space="preserve"> </w:t>
      </w:r>
      <w:r w:rsidR="005927D6">
        <w:t xml:space="preserve">the </w:t>
      </w:r>
      <w:r w:rsidR="00EF418A">
        <w:t>“blading”</w:t>
      </w:r>
      <w:r w:rsidR="005927D6">
        <w:t xml:space="preserve"> label added nothing to the calculus, because “the positioning of his body seems </w:t>
      </w:r>
      <w:r w:rsidR="00EF418A">
        <w:t>consistent with an individual who was crossing a street at a diagonal from north to south”</w:t>
      </w:r>
      <w:r w:rsidR="005927D6">
        <w:t xml:space="preserve"> which is not inherently suspicious</w:t>
      </w:r>
      <w:r w:rsidR="00EF418A">
        <w:t xml:space="preserve">); </w:t>
      </w:r>
      <w:r w:rsidR="009A5AE1" w:rsidRPr="00E0265D">
        <w:rPr>
          <w:i/>
          <w:iCs/>
        </w:rPr>
        <w:t>Pugh</w:t>
      </w:r>
      <w:r w:rsidR="009A5AE1">
        <w:t>, 345 Wis. 2d at 843 (</w:t>
      </w:r>
      <w:r w:rsidR="005927D6">
        <w:t>“C</w:t>
      </w:r>
      <w:r w:rsidR="009A5AE1">
        <w:t xml:space="preserve">alling a movement that would accompany any walking away ‘blading’ adds nothing to the calculus except a </w:t>
      </w:r>
      <w:r w:rsidR="009A5AE1" w:rsidRPr="00BA2430">
        <w:rPr>
          <w:iCs/>
        </w:rPr>
        <w:t>false patina of objectivity</w:t>
      </w:r>
      <w:r w:rsidR="005927D6">
        <w:rPr>
          <w:iCs/>
        </w:rPr>
        <w:t>.</w:t>
      </w:r>
      <w:r w:rsidR="009A5AE1" w:rsidRPr="00BA2430">
        <w:rPr>
          <w:iCs/>
        </w:rPr>
        <w:t>”</w:t>
      </w:r>
      <w:r>
        <w:rPr>
          <w:iCs/>
        </w:rPr>
        <w:t>)</w:t>
      </w:r>
      <w:r w:rsidR="009A5AE1">
        <w:t>;</w:t>
      </w:r>
      <w:r>
        <w:t xml:space="preserve"> </w:t>
      </w:r>
      <w:r w:rsidR="009A5AE1" w:rsidRPr="00D245D9">
        <w:rPr>
          <w:i/>
          <w:iCs/>
        </w:rPr>
        <w:t>Williams</w:t>
      </w:r>
      <w:r w:rsidR="009A5AE1">
        <w:t>, 141 N.Y.S. 3d at 227 (“</w:t>
      </w:r>
      <w:r>
        <w:t xml:space="preserve">Defendant’s </w:t>
      </w:r>
      <w:r w:rsidR="009A5AE1">
        <w:t xml:space="preserve">nervousness . . . and </w:t>
      </w:r>
      <w:r>
        <w:t>‘</w:t>
      </w:r>
      <w:r w:rsidR="009A5AE1">
        <w:t>blading</w:t>
      </w:r>
      <w:r>
        <w:t>’</w:t>
      </w:r>
      <w:r w:rsidR="009A5AE1">
        <w:t xml:space="preserve"> do not provide additional specific </w:t>
      </w:r>
      <w:r w:rsidR="0016571C">
        <w:t>circumstances</w:t>
      </w:r>
      <w:r w:rsidR="009A5AE1">
        <w:t xml:space="preserve"> indicating that the defendant was engaged in criminal activ</w:t>
      </w:r>
      <w:r>
        <w:t>i</w:t>
      </w:r>
      <w:r w:rsidR="009A5AE1">
        <w:t>t</w:t>
      </w:r>
      <w:r>
        <w:t>y.</w:t>
      </w:r>
      <w:r w:rsidR="009A5AE1">
        <w:t>”).</w:t>
      </w:r>
    </w:p>
    <w:p w14:paraId="64441E45" w14:textId="146DAFA2" w:rsidR="009A5AE1" w:rsidRDefault="009A5AE1" w:rsidP="009A5AE1">
      <w:pPr>
        <w:spacing w:line="480" w:lineRule="auto"/>
        <w:jc w:val="both"/>
        <w:rPr>
          <w:color w:val="000000" w:themeColor="text1"/>
          <w:sz w:val="20"/>
          <w:szCs w:val="20"/>
        </w:rPr>
      </w:pPr>
      <w:r>
        <w:tab/>
      </w:r>
      <w:r w:rsidR="00A5030E">
        <w:t xml:space="preserve">Courts </w:t>
      </w:r>
      <w:r w:rsidR="005401FF">
        <w:t>around the country are also acknowledging that</w:t>
      </w:r>
      <w:r w:rsidR="005554DA">
        <w:t>, because</w:t>
      </w:r>
      <w:r w:rsidR="005401FF">
        <w:t xml:space="preserve"> Black and brown </w:t>
      </w:r>
      <w:r w:rsidR="005554DA">
        <w:t>individuals</w:t>
      </w:r>
      <w:r w:rsidR="005401FF">
        <w:t xml:space="preserve"> are more likely to be </w:t>
      </w:r>
      <w:r w:rsidR="00F91251">
        <w:t>nervous</w:t>
      </w:r>
      <w:r w:rsidR="005554DA">
        <w:t xml:space="preserve"> around police</w:t>
      </w:r>
      <w:r w:rsidR="005401FF">
        <w:t xml:space="preserve"> and </w:t>
      </w:r>
      <w:r w:rsidR="001A3141">
        <w:t>are more likely to</w:t>
      </w:r>
      <w:r w:rsidR="005401FF">
        <w:t xml:space="preserve"> want to avoid police interactions</w:t>
      </w:r>
      <w:r w:rsidR="005554DA">
        <w:t>,</w:t>
      </w:r>
      <w:r w:rsidR="005401FF">
        <w:t xml:space="preserve"> their agitation, nervousness, or evasive behavior should be discounted in reasonable suspicion analys</w:t>
      </w:r>
      <w:r w:rsidR="001A3141">
        <w:t>e</w:t>
      </w:r>
      <w:r w:rsidR="005401FF">
        <w:t>s</w:t>
      </w:r>
      <w:r w:rsidR="00F91251">
        <w:t xml:space="preserve">. </w:t>
      </w:r>
      <w:r w:rsidR="005401FF" w:rsidRPr="00056E89">
        <w:rPr>
          <w:color w:val="000000" w:themeColor="text1"/>
        </w:rPr>
        <w:t xml:space="preserve">For example, courts in Illinois, Maryland, Massachusetts, and Washington now give less weight to the flight of a Black man from police. </w:t>
      </w:r>
      <w:r w:rsidR="005401FF" w:rsidRPr="00056E89">
        <w:rPr>
          <w:i/>
          <w:color w:val="000000" w:themeColor="text1"/>
        </w:rPr>
        <w:t xml:space="preserve">See </w:t>
      </w:r>
      <w:r w:rsidR="005401FF" w:rsidRPr="00D25CE3">
        <w:rPr>
          <w:i/>
          <w:iCs/>
          <w:color w:val="000000" w:themeColor="text1"/>
        </w:rPr>
        <w:t>Washington v. State</w:t>
      </w:r>
      <w:r w:rsidR="005401FF" w:rsidRPr="00056E89">
        <w:rPr>
          <w:iCs/>
          <w:color w:val="000000" w:themeColor="text1"/>
        </w:rPr>
        <w:t xml:space="preserve">, 287 A.3d 301, </w:t>
      </w:r>
      <w:r w:rsidR="005401FF" w:rsidRPr="00056E89">
        <w:rPr>
          <w:iCs/>
          <w:color w:val="000000" w:themeColor="text1"/>
        </w:rPr>
        <w:lastRenderedPageBreak/>
        <w:t xml:space="preserve">325 (Md. 2022) (“[T]he circumstance that people, particularly young African American men, may flee police for innocent reasons may be considered in the Fourth Amendment reasonable suspicion calculus.”); </w:t>
      </w:r>
      <w:r w:rsidR="005401FF" w:rsidRPr="00D25CE3">
        <w:rPr>
          <w:i/>
          <w:color w:val="000000" w:themeColor="text1"/>
        </w:rPr>
        <w:t>United States v. Brown</w:t>
      </w:r>
      <w:r w:rsidR="005401FF" w:rsidRPr="00056E89">
        <w:rPr>
          <w:iCs/>
          <w:color w:val="000000" w:themeColor="text1"/>
        </w:rPr>
        <w:t xml:space="preserve">, </w:t>
      </w:r>
      <w:r w:rsidR="005401FF" w:rsidRPr="00056E89">
        <w:rPr>
          <w:color w:val="000000" w:themeColor="text1"/>
        </w:rPr>
        <w:t xml:space="preserve">925 F.3d 1150, 1156 (9th Cir. 2019) (“In evaluating flight as a basis for reasonable suspicion, we cannot totally discount the issue of race.”); </w:t>
      </w:r>
      <w:r w:rsidR="005401FF" w:rsidRPr="00D25CE3">
        <w:rPr>
          <w:i/>
          <w:iCs/>
          <w:color w:val="000000" w:themeColor="text1"/>
        </w:rPr>
        <w:t>People v. Horton</w:t>
      </w:r>
      <w:r w:rsidR="005401FF" w:rsidRPr="00056E89">
        <w:rPr>
          <w:color w:val="000000" w:themeColor="text1"/>
        </w:rPr>
        <w:t xml:space="preserve">, 142 N.E.3d 854, 868 (Ill. App. 2019) (“[O]ne can readily understand why a young </w:t>
      </w:r>
      <w:r w:rsidR="003911A0">
        <w:rPr>
          <w:color w:val="000000" w:themeColor="text1"/>
        </w:rPr>
        <w:t>[B]</w:t>
      </w:r>
      <w:r w:rsidR="005401FF" w:rsidRPr="00056E89">
        <w:rPr>
          <w:color w:val="000000" w:themeColor="text1"/>
        </w:rPr>
        <w:t xml:space="preserve">lack man having a conversation with friends in a front yard would quickly move inside when seeing a police car back up”); </w:t>
      </w:r>
      <w:r w:rsidR="005401FF" w:rsidRPr="00D25CE3">
        <w:rPr>
          <w:i/>
          <w:color w:val="000000" w:themeColor="text1"/>
        </w:rPr>
        <w:t>Com</w:t>
      </w:r>
      <w:r w:rsidR="005401FF" w:rsidRPr="00056E89">
        <w:rPr>
          <w:i/>
          <w:color w:val="000000" w:themeColor="text1"/>
        </w:rPr>
        <w:t>monwealth</w:t>
      </w:r>
      <w:r w:rsidR="005401FF" w:rsidRPr="00D25CE3">
        <w:rPr>
          <w:i/>
          <w:color w:val="000000" w:themeColor="text1"/>
        </w:rPr>
        <w:t xml:space="preserve"> v. Warren</w:t>
      </w:r>
      <w:r w:rsidR="005401FF" w:rsidRPr="00056E89">
        <w:rPr>
          <w:color w:val="000000" w:themeColor="text1"/>
        </w:rPr>
        <w:t xml:space="preserve">, 58 N.E.3d 333, 342 (Mass. 2016) (“[W]here the suspect is a </w:t>
      </w:r>
      <w:r w:rsidR="003911A0">
        <w:rPr>
          <w:color w:val="000000" w:themeColor="text1"/>
        </w:rPr>
        <w:t>[B]</w:t>
      </w:r>
      <w:r w:rsidR="005401FF" w:rsidRPr="00056E89">
        <w:rPr>
          <w:color w:val="000000" w:themeColor="text1"/>
        </w:rPr>
        <w:t xml:space="preserve">lack male stopped by the police on the streets of Boston, the analysis of flight as a factor in the reasonable suspicion calculus cannot be divorced from the findings … documenting a pattern of racial profiling of </w:t>
      </w:r>
      <w:r w:rsidR="003911A0">
        <w:rPr>
          <w:color w:val="000000" w:themeColor="text1"/>
        </w:rPr>
        <w:t>[B]</w:t>
      </w:r>
      <w:r w:rsidR="005401FF" w:rsidRPr="00056E89">
        <w:rPr>
          <w:color w:val="000000" w:themeColor="text1"/>
        </w:rPr>
        <w:t>lack males in the city of Boston…”)</w:t>
      </w:r>
      <w:r w:rsidR="005401FF" w:rsidRPr="00056E89">
        <w:rPr>
          <w:color w:val="000000" w:themeColor="text1"/>
          <w:sz w:val="20"/>
          <w:szCs w:val="20"/>
        </w:rPr>
        <w:t>.</w:t>
      </w:r>
    </w:p>
    <w:p w14:paraId="213BC80C" w14:textId="034F8442" w:rsidR="00E062D6" w:rsidRDefault="005401FF" w:rsidP="009A5AE1">
      <w:pPr>
        <w:spacing w:line="480" w:lineRule="auto"/>
        <w:ind w:firstLine="720"/>
        <w:jc w:val="both"/>
      </w:pPr>
      <w:r w:rsidRPr="00056E89">
        <w:rPr>
          <w:color w:val="000000" w:themeColor="text1"/>
          <w:sz w:val="20"/>
          <w:szCs w:val="20"/>
        </w:rPr>
        <w:t xml:space="preserve"> </w:t>
      </w:r>
      <w:r>
        <w:t>T</w:t>
      </w:r>
      <w:r w:rsidR="00F91251">
        <w:t xml:space="preserve">he Massachusetts Supreme Court has since expanded “the reasoning of </w:t>
      </w:r>
      <w:r w:rsidR="00F91251" w:rsidRPr="006C414A">
        <w:rPr>
          <w:i/>
          <w:iCs/>
        </w:rPr>
        <w:t>Warren</w:t>
      </w:r>
      <w:r w:rsidR="00F91251">
        <w:t xml:space="preserve"> . . . to other types of nervous or evasive behavior in addition to flight</w:t>
      </w:r>
      <w:r>
        <w:t>,</w:t>
      </w:r>
      <w:r w:rsidR="00F91251">
        <w:t>”</w:t>
      </w:r>
      <w:r>
        <w:t xml:space="preserve"> explaining that</w:t>
      </w:r>
      <w:r w:rsidR="00F91251">
        <w:t xml:space="preserve"> </w:t>
      </w:r>
      <w:r>
        <w:t xml:space="preserve">“fear of [a police] encounter might lead an African-American male to be nervous or evasive in his dealings with police officers.” </w:t>
      </w:r>
      <w:r w:rsidR="00F91251" w:rsidRPr="006C414A">
        <w:rPr>
          <w:i/>
          <w:iCs/>
        </w:rPr>
        <w:t>Commonwealth v. Evelyn</w:t>
      </w:r>
      <w:r w:rsidR="00F91251">
        <w:t>, 152 N.E. 3d 108, 114</w:t>
      </w:r>
      <w:r>
        <w:t xml:space="preserve"> &amp; 125-26</w:t>
      </w:r>
      <w:r w:rsidR="006C414A">
        <w:t xml:space="preserve"> (Mass. 2020). </w:t>
      </w:r>
      <w:r w:rsidR="001A3141">
        <w:t>This Court should join others</w:t>
      </w:r>
      <w:r w:rsidR="005554DA">
        <w:t xml:space="preserve"> in recognizing the racial realities of police interactions with Black and brown community members and hold that </w:t>
      </w:r>
      <w:r w:rsidR="006C414A">
        <w:t xml:space="preserve">characterizations of </w:t>
      </w:r>
      <w:r w:rsidR="000529B9">
        <w:t>“</w:t>
      </w:r>
      <w:r w:rsidR="006C414A">
        <w:t>blading</w:t>
      </w:r>
      <w:r w:rsidR="000529B9">
        <w:t>”</w:t>
      </w:r>
      <w:r w:rsidR="006C414A">
        <w:t xml:space="preserve"> should be discounted </w:t>
      </w:r>
      <w:r w:rsidR="005554DA">
        <w:t xml:space="preserve">when conducting </w:t>
      </w:r>
      <w:r w:rsidR="006C414A">
        <w:t>reasonable suspicion</w:t>
      </w:r>
      <w:r w:rsidR="005554DA">
        <w:t xml:space="preserve"> analyses</w:t>
      </w:r>
      <w:r w:rsidR="006C414A">
        <w:t xml:space="preserve">. </w:t>
      </w:r>
    </w:p>
    <w:p w14:paraId="05710421" w14:textId="07345738" w:rsidR="00B34F73" w:rsidRDefault="00B34F73" w:rsidP="00343637">
      <w:pPr>
        <w:jc w:val="center"/>
      </w:pPr>
      <w:r w:rsidRPr="009702AC">
        <w:t>*</w:t>
      </w:r>
      <w:r w:rsidR="004D4DCB">
        <w:t xml:space="preserve"> </w:t>
      </w:r>
      <w:r w:rsidRPr="009702AC">
        <w:t xml:space="preserve"> *</w:t>
      </w:r>
      <w:r w:rsidR="004D4DCB">
        <w:t xml:space="preserve"> </w:t>
      </w:r>
      <w:r w:rsidRPr="009702AC">
        <w:t xml:space="preserve"> *</w:t>
      </w:r>
    </w:p>
    <w:p w14:paraId="4DA5C5E9" w14:textId="77777777" w:rsidR="00B34F73" w:rsidRDefault="00B34F73" w:rsidP="00F95223">
      <w:pPr>
        <w:jc w:val="both"/>
      </w:pPr>
    </w:p>
    <w:p w14:paraId="65702ED9" w14:textId="5A5F31DE" w:rsidR="00C2157F" w:rsidRPr="00294C2C" w:rsidRDefault="000529B9" w:rsidP="00F95223">
      <w:pPr>
        <w:spacing w:line="480" w:lineRule="auto"/>
        <w:ind w:firstLine="720"/>
        <w:jc w:val="both"/>
      </w:pPr>
      <w:r>
        <w:t>“</w:t>
      </w:r>
      <w:r w:rsidR="00CC73B9">
        <w:t>B</w:t>
      </w:r>
      <w:r w:rsidR="008B43FE">
        <w:t>lading</w:t>
      </w:r>
      <w:r>
        <w:t>”</w:t>
      </w:r>
      <w:r w:rsidR="008B43FE">
        <w:t xml:space="preserve"> is a </w:t>
      </w:r>
      <w:r w:rsidR="00B34F73">
        <w:t>vague</w:t>
      </w:r>
      <w:r w:rsidR="008B43FE">
        <w:t xml:space="preserve">, unparticularized, </w:t>
      </w:r>
      <w:r w:rsidR="00086368">
        <w:t xml:space="preserve">and conclusory </w:t>
      </w:r>
      <w:r w:rsidR="008B43FE">
        <w:t xml:space="preserve">description </w:t>
      </w:r>
      <w:r w:rsidR="00B34F73">
        <w:t xml:space="preserve">of contradictory and innocuous behavior </w:t>
      </w:r>
      <w:r w:rsidR="00CC73B9">
        <w:t xml:space="preserve">that </w:t>
      </w:r>
      <w:r w:rsidR="00B34F73">
        <w:t xml:space="preserve">unfairly targets </w:t>
      </w:r>
      <w:r w:rsidR="00C51E56">
        <w:t>communities of color</w:t>
      </w:r>
      <w:r w:rsidR="00B34F73">
        <w:t xml:space="preserve"> and relieves the government of its constitutional </w:t>
      </w:r>
      <w:r w:rsidR="00CC73B9">
        <w:t xml:space="preserve">obligation to </w:t>
      </w:r>
      <w:r w:rsidR="00AE538A">
        <w:t>i</w:t>
      </w:r>
      <w:r w:rsidR="00CC73B9">
        <w:t xml:space="preserve">ntrude on individuals’ freedom of movement </w:t>
      </w:r>
      <w:r w:rsidR="00AE538A">
        <w:t xml:space="preserve">only </w:t>
      </w:r>
      <w:r w:rsidR="00CC73B9">
        <w:t>when it has reasonable, articulable, and particularized suspicion of criminal activity</w:t>
      </w:r>
      <w:r w:rsidR="00DA38C7">
        <w:t>.</w:t>
      </w:r>
      <w:r w:rsidR="00CC73B9">
        <w:t xml:space="preserve"> For these reasons, this </w:t>
      </w:r>
      <w:r w:rsidR="00CC73B9">
        <w:lastRenderedPageBreak/>
        <w:t xml:space="preserve">Court should join others around the country in discounting police reliance on </w:t>
      </w:r>
      <w:r>
        <w:t>“</w:t>
      </w:r>
      <w:r w:rsidR="00CC73B9">
        <w:t>blading</w:t>
      </w:r>
      <w:r>
        <w:t>”</w:t>
      </w:r>
      <w:r w:rsidR="00CC73B9">
        <w:t xml:space="preserve"> in the reasonable suspicion analysis.</w:t>
      </w:r>
      <w:r w:rsidR="00DA38C7">
        <w:t xml:space="preserve"> </w:t>
      </w:r>
    </w:p>
    <w:sectPr w:rsidR="00C2157F" w:rsidRPr="00294C2C" w:rsidSect="00DF267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AB934" w14:textId="77777777" w:rsidR="00E6696C" w:rsidRDefault="00E6696C" w:rsidP="00C6036C">
      <w:r>
        <w:separator/>
      </w:r>
    </w:p>
  </w:endnote>
  <w:endnote w:type="continuationSeparator" w:id="0">
    <w:p w14:paraId="3C96FF6E" w14:textId="77777777" w:rsidR="00E6696C" w:rsidRDefault="00E6696C" w:rsidP="00C60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58721384"/>
      <w:docPartObj>
        <w:docPartGallery w:val="Page Numbers (Bottom of Page)"/>
        <w:docPartUnique/>
      </w:docPartObj>
    </w:sdtPr>
    <w:sdtEndPr>
      <w:rPr>
        <w:rStyle w:val="PageNumber"/>
      </w:rPr>
    </w:sdtEndPr>
    <w:sdtContent>
      <w:p w14:paraId="03C9279E" w14:textId="6E634472" w:rsidR="009C2977" w:rsidRDefault="009C2977" w:rsidP="0054000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A799EE" w14:textId="77777777" w:rsidR="009C2977" w:rsidRDefault="009C2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37889674"/>
      <w:docPartObj>
        <w:docPartGallery w:val="Page Numbers (Bottom of Page)"/>
        <w:docPartUnique/>
      </w:docPartObj>
    </w:sdtPr>
    <w:sdtEndPr>
      <w:rPr>
        <w:rStyle w:val="PageNumber"/>
      </w:rPr>
    </w:sdtEndPr>
    <w:sdtContent>
      <w:p w14:paraId="5653D21A" w14:textId="1F920D05" w:rsidR="009C2977" w:rsidRDefault="009C2977" w:rsidP="0054000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A7BEF">
          <w:rPr>
            <w:rStyle w:val="PageNumber"/>
            <w:noProof/>
          </w:rPr>
          <w:t>1</w:t>
        </w:r>
        <w:r>
          <w:rPr>
            <w:rStyle w:val="PageNumber"/>
          </w:rPr>
          <w:fldChar w:fldCharType="end"/>
        </w:r>
      </w:p>
    </w:sdtContent>
  </w:sdt>
  <w:p w14:paraId="7BC1D6A1" w14:textId="77777777" w:rsidR="009C2977" w:rsidRDefault="009C2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6DAB5" w14:textId="77777777" w:rsidR="00E6696C" w:rsidRDefault="00E6696C" w:rsidP="00C6036C">
      <w:r>
        <w:separator/>
      </w:r>
    </w:p>
  </w:footnote>
  <w:footnote w:type="continuationSeparator" w:id="0">
    <w:p w14:paraId="3972DFC8" w14:textId="77777777" w:rsidR="00E6696C" w:rsidRDefault="00E6696C" w:rsidP="00C60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57A"/>
    <w:multiLevelType w:val="hybridMultilevel"/>
    <w:tmpl w:val="BEF08A9C"/>
    <w:lvl w:ilvl="0" w:tplc="6D8851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A81D43"/>
    <w:multiLevelType w:val="hybridMultilevel"/>
    <w:tmpl w:val="1C78830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567BF8"/>
    <w:multiLevelType w:val="hybridMultilevel"/>
    <w:tmpl w:val="E9B449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514C0E"/>
    <w:multiLevelType w:val="hybridMultilevel"/>
    <w:tmpl w:val="7592DE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362F79"/>
    <w:multiLevelType w:val="hybridMultilevel"/>
    <w:tmpl w:val="AC3C0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B232E"/>
    <w:multiLevelType w:val="hybridMultilevel"/>
    <w:tmpl w:val="9B2ED5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9523E70"/>
    <w:multiLevelType w:val="hybridMultilevel"/>
    <w:tmpl w:val="EC66C526"/>
    <w:lvl w:ilvl="0" w:tplc="FC946BEE">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7F70C5"/>
    <w:multiLevelType w:val="hybridMultilevel"/>
    <w:tmpl w:val="9A9245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4F6E1C"/>
    <w:multiLevelType w:val="hybridMultilevel"/>
    <w:tmpl w:val="7F38FB58"/>
    <w:lvl w:ilvl="0" w:tplc="C35C39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3"/>
  </w:num>
  <w:num w:numId="5">
    <w:abstractNumId w:val="2"/>
  </w:num>
  <w:num w:numId="6">
    <w:abstractNumId w:val="8"/>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Author" w:val="False"/>
    <w:docVar w:name="DocIDClientMatter" w:val="False"/>
    <w:docVar w:name="DocIDDate" w:val="False"/>
    <w:docVar w:name="DocIDDateText" w:val="False"/>
    <w:docVar w:name="DocIDLibrary" w:val="True"/>
    <w:docVar w:name="DocIDType" w:val="AllPages"/>
    <w:docVar w:name="DocIDTypist" w:val="False"/>
  </w:docVars>
  <w:rsids>
    <w:rsidRoot w:val="00794D1B"/>
    <w:rsid w:val="00003A31"/>
    <w:rsid w:val="000163B5"/>
    <w:rsid w:val="0002044E"/>
    <w:rsid w:val="0002284A"/>
    <w:rsid w:val="0002480C"/>
    <w:rsid w:val="00025218"/>
    <w:rsid w:val="000265FD"/>
    <w:rsid w:val="00031849"/>
    <w:rsid w:val="00032D84"/>
    <w:rsid w:val="000415EB"/>
    <w:rsid w:val="0004184F"/>
    <w:rsid w:val="00047746"/>
    <w:rsid w:val="000529B9"/>
    <w:rsid w:val="000550AC"/>
    <w:rsid w:val="00057D09"/>
    <w:rsid w:val="00065EA2"/>
    <w:rsid w:val="0006737F"/>
    <w:rsid w:val="0007116F"/>
    <w:rsid w:val="00071C36"/>
    <w:rsid w:val="00076AAF"/>
    <w:rsid w:val="00081E03"/>
    <w:rsid w:val="00086368"/>
    <w:rsid w:val="00086CF3"/>
    <w:rsid w:val="00091925"/>
    <w:rsid w:val="00092040"/>
    <w:rsid w:val="000966B0"/>
    <w:rsid w:val="000A3805"/>
    <w:rsid w:val="000A6A88"/>
    <w:rsid w:val="000B0F1B"/>
    <w:rsid w:val="000B4B4F"/>
    <w:rsid w:val="000B66F6"/>
    <w:rsid w:val="000B7BE8"/>
    <w:rsid w:val="000C07B2"/>
    <w:rsid w:val="000C194A"/>
    <w:rsid w:val="000D275D"/>
    <w:rsid w:val="000D348D"/>
    <w:rsid w:val="000E3932"/>
    <w:rsid w:val="000E4883"/>
    <w:rsid w:val="00110739"/>
    <w:rsid w:val="0013401E"/>
    <w:rsid w:val="00146F5A"/>
    <w:rsid w:val="00150FA7"/>
    <w:rsid w:val="001576D0"/>
    <w:rsid w:val="001646EB"/>
    <w:rsid w:val="0016571C"/>
    <w:rsid w:val="00166B80"/>
    <w:rsid w:val="00170FE2"/>
    <w:rsid w:val="00172635"/>
    <w:rsid w:val="00173E8A"/>
    <w:rsid w:val="0017406B"/>
    <w:rsid w:val="00175EFF"/>
    <w:rsid w:val="00183F3E"/>
    <w:rsid w:val="00191054"/>
    <w:rsid w:val="00192CB5"/>
    <w:rsid w:val="001A1A1F"/>
    <w:rsid w:val="001A3141"/>
    <w:rsid w:val="001B4CC8"/>
    <w:rsid w:val="001C0441"/>
    <w:rsid w:val="001C1DFC"/>
    <w:rsid w:val="001C2554"/>
    <w:rsid w:val="001C5091"/>
    <w:rsid w:val="001D0FCA"/>
    <w:rsid w:val="001D4543"/>
    <w:rsid w:val="001D57A6"/>
    <w:rsid w:val="001D758D"/>
    <w:rsid w:val="001E20E3"/>
    <w:rsid w:val="001E387F"/>
    <w:rsid w:val="001E615E"/>
    <w:rsid w:val="001F236A"/>
    <w:rsid w:val="0020318C"/>
    <w:rsid w:val="002123BD"/>
    <w:rsid w:val="0021558A"/>
    <w:rsid w:val="00222671"/>
    <w:rsid w:val="002275EC"/>
    <w:rsid w:val="00232404"/>
    <w:rsid w:val="00236155"/>
    <w:rsid w:val="00237F0D"/>
    <w:rsid w:val="00243DDF"/>
    <w:rsid w:val="002515F7"/>
    <w:rsid w:val="00252A03"/>
    <w:rsid w:val="002543A7"/>
    <w:rsid w:val="0026286C"/>
    <w:rsid w:val="00266F19"/>
    <w:rsid w:val="002700A5"/>
    <w:rsid w:val="00274911"/>
    <w:rsid w:val="00274AEB"/>
    <w:rsid w:val="002750EC"/>
    <w:rsid w:val="0028442B"/>
    <w:rsid w:val="00290C1F"/>
    <w:rsid w:val="00294C2C"/>
    <w:rsid w:val="00295C42"/>
    <w:rsid w:val="002A54F2"/>
    <w:rsid w:val="002A7097"/>
    <w:rsid w:val="002A70FC"/>
    <w:rsid w:val="002B0D53"/>
    <w:rsid w:val="002B4A40"/>
    <w:rsid w:val="002D27A0"/>
    <w:rsid w:val="002D3852"/>
    <w:rsid w:val="002E6FFD"/>
    <w:rsid w:val="002F235A"/>
    <w:rsid w:val="00302152"/>
    <w:rsid w:val="00311850"/>
    <w:rsid w:val="00313D1B"/>
    <w:rsid w:val="0032255A"/>
    <w:rsid w:val="003233E4"/>
    <w:rsid w:val="003320FB"/>
    <w:rsid w:val="0033228F"/>
    <w:rsid w:val="00337E54"/>
    <w:rsid w:val="00340943"/>
    <w:rsid w:val="00341293"/>
    <w:rsid w:val="0034198B"/>
    <w:rsid w:val="00341E9C"/>
    <w:rsid w:val="00342AEA"/>
    <w:rsid w:val="00343637"/>
    <w:rsid w:val="00343F1C"/>
    <w:rsid w:val="00344207"/>
    <w:rsid w:val="0034610D"/>
    <w:rsid w:val="0034650E"/>
    <w:rsid w:val="00350DAC"/>
    <w:rsid w:val="00357123"/>
    <w:rsid w:val="00364123"/>
    <w:rsid w:val="00387605"/>
    <w:rsid w:val="003911A0"/>
    <w:rsid w:val="003969E1"/>
    <w:rsid w:val="003A762A"/>
    <w:rsid w:val="003B1380"/>
    <w:rsid w:val="003B4BB7"/>
    <w:rsid w:val="003C4232"/>
    <w:rsid w:val="003C74EE"/>
    <w:rsid w:val="003D3295"/>
    <w:rsid w:val="003D358F"/>
    <w:rsid w:val="003D609C"/>
    <w:rsid w:val="003E0140"/>
    <w:rsid w:val="003E3BA0"/>
    <w:rsid w:val="003F15CE"/>
    <w:rsid w:val="003F1FA9"/>
    <w:rsid w:val="003F1FD2"/>
    <w:rsid w:val="0040789F"/>
    <w:rsid w:val="004104A5"/>
    <w:rsid w:val="004132C6"/>
    <w:rsid w:val="00415281"/>
    <w:rsid w:val="00420776"/>
    <w:rsid w:val="00423E1B"/>
    <w:rsid w:val="0042538A"/>
    <w:rsid w:val="0043226B"/>
    <w:rsid w:val="00447F0B"/>
    <w:rsid w:val="00452268"/>
    <w:rsid w:val="0045647B"/>
    <w:rsid w:val="00466EC9"/>
    <w:rsid w:val="00473B45"/>
    <w:rsid w:val="004765BF"/>
    <w:rsid w:val="00477774"/>
    <w:rsid w:val="00477AE8"/>
    <w:rsid w:val="00481346"/>
    <w:rsid w:val="00484AB7"/>
    <w:rsid w:val="004877A9"/>
    <w:rsid w:val="00492165"/>
    <w:rsid w:val="00496D91"/>
    <w:rsid w:val="004A1DB5"/>
    <w:rsid w:val="004B6EAD"/>
    <w:rsid w:val="004C78B9"/>
    <w:rsid w:val="004D0CFE"/>
    <w:rsid w:val="004D4DCB"/>
    <w:rsid w:val="004E2AF6"/>
    <w:rsid w:val="004E7D92"/>
    <w:rsid w:val="004F1413"/>
    <w:rsid w:val="004F5C39"/>
    <w:rsid w:val="005024D6"/>
    <w:rsid w:val="005104AA"/>
    <w:rsid w:val="00514146"/>
    <w:rsid w:val="005152A9"/>
    <w:rsid w:val="00516CDC"/>
    <w:rsid w:val="005203A4"/>
    <w:rsid w:val="00526F82"/>
    <w:rsid w:val="00530720"/>
    <w:rsid w:val="00533C99"/>
    <w:rsid w:val="005362F9"/>
    <w:rsid w:val="00540008"/>
    <w:rsid w:val="005401FF"/>
    <w:rsid w:val="005418A6"/>
    <w:rsid w:val="00542502"/>
    <w:rsid w:val="00544387"/>
    <w:rsid w:val="005472AD"/>
    <w:rsid w:val="00547534"/>
    <w:rsid w:val="005554DA"/>
    <w:rsid w:val="0057063C"/>
    <w:rsid w:val="005760AF"/>
    <w:rsid w:val="00576FA7"/>
    <w:rsid w:val="005851F7"/>
    <w:rsid w:val="00590975"/>
    <w:rsid w:val="005927D6"/>
    <w:rsid w:val="005944AF"/>
    <w:rsid w:val="00595E43"/>
    <w:rsid w:val="005A0E8B"/>
    <w:rsid w:val="005A0EF0"/>
    <w:rsid w:val="005A1E1C"/>
    <w:rsid w:val="005B32A1"/>
    <w:rsid w:val="005B516A"/>
    <w:rsid w:val="005C2349"/>
    <w:rsid w:val="005C2EF4"/>
    <w:rsid w:val="005C3852"/>
    <w:rsid w:val="005C6854"/>
    <w:rsid w:val="005C7D9D"/>
    <w:rsid w:val="005D04AE"/>
    <w:rsid w:val="005D1263"/>
    <w:rsid w:val="005D6F57"/>
    <w:rsid w:val="005D7E98"/>
    <w:rsid w:val="005E1131"/>
    <w:rsid w:val="005E7698"/>
    <w:rsid w:val="005F140E"/>
    <w:rsid w:val="005F610E"/>
    <w:rsid w:val="00600409"/>
    <w:rsid w:val="0060300F"/>
    <w:rsid w:val="0060324E"/>
    <w:rsid w:val="006053B6"/>
    <w:rsid w:val="00620572"/>
    <w:rsid w:val="00621447"/>
    <w:rsid w:val="00631F86"/>
    <w:rsid w:val="00633950"/>
    <w:rsid w:val="0063630C"/>
    <w:rsid w:val="00640C38"/>
    <w:rsid w:val="00641B92"/>
    <w:rsid w:val="0064326E"/>
    <w:rsid w:val="0064722C"/>
    <w:rsid w:val="0064724F"/>
    <w:rsid w:val="006479B3"/>
    <w:rsid w:val="0065174E"/>
    <w:rsid w:val="00651E6C"/>
    <w:rsid w:val="0065205D"/>
    <w:rsid w:val="00654C02"/>
    <w:rsid w:val="00660E8C"/>
    <w:rsid w:val="006637CC"/>
    <w:rsid w:val="00666EE8"/>
    <w:rsid w:val="0067551E"/>
    <w:rsid w:val="00675926"/>
    <w:rsid w:val="00686D09"/>
    <w:rsid w:val="006901A5"/>
    <w:rsid w:val="0069138D"/>
    <w:rsid w:val="006A2752"/>
    <w:rsid w:val="006A7BEF"/>
    <w:rsid w:val="006B75B5"/>
    <w:rsid w:val="006C414A"/>
    <w:rsid w:val="006C4421"/>
    <w:rsid w:val="006D7A94"/>
    <w:rsid w:val="006D7E1F"/>
    <w:rsid w:val="006E0D28"/>
    <w:rsid w:val="006E1506"/>
    <w:rsid w:val="006E6E3B"/>
    <w:rsid w:val="006E7376"/>
    <w:rsid w:val="006E7784"/>
    <w:rsid w:val="006F0C4F"/>
    <w:rsid w:val="00702591"/>
    <w:rsid w:val="00726C68"/>
    <w:rsid w:val="00734109"/>
    <w:rsid w:val="00741449"/>
    <w:rsid w:val="00741955"/>
    <w:rsid w:val="00741F03"/>
    <w:rsid w:val="00742BB7"/>
    <w:rsid w:val="0074380D"/>
    <w:rsid w:val="00743C5A"/>
    <w:rsid w:val="00746853"/>
    <w:rsid w:val="00753C77"/>
    <w:rsid w:val="00756090"/>
    <w:rsid w:val="00760445"/>
    <w:rsid w:val="007617FA"/>
    <w:rsid w:val="00764421"/>
    <w:rsid w:val="00764BB5"/>
    <w:rsid w:val="00767C86"/>
    <w:rsid w:val="007708DE"/>
    <w:rsid w:val="00790FBD"/>
    <w:rsid w:val="007912E7"/>
    <w:rsid w:val="00794D1B"/>
    <w:rsid w:val="00797C0A"/>
    <w:rsid w:val="007A7345"/>
    <w:rsid w:val="007C045D"/>
    <w:rsid w:val="007C1AC3"/>
    <w:rsid w:val="007C3971"/>
    <w:rsid w:val="007C6C33"/>
    <w:rsid w:val="007D2E19"/>
    <w:rsid w:val="007E0D53"/>
    <w:rsid w:val="007E169A"/>
    <w:rsid w:val="007E34FE"/>
    <w:rsid w:val="007F4712"/>
    <w:rsid w:val="00800679"/>
    <w:rsid w:val="00806498"/>
    <w:rsid w:val="0081246C"/>
    <w:rsid w:val="00812E02"/>
    <w:rsid w:val="00823039"/>
    <w:rsid w:val="008239D8"/>
    <w:rsid w:val="008248A3"/>
    <w:rsid w:val="00825A37"/>
    <w:rsid w:val="00833AB7"/>
    <w:rsid w:val="00835FCD"/>
    <w:rsid w:val="00837E57"/>
    <w:rsid w:val="008418D7"/>
    <w:rsid w:val="008466EA"/>
    <w:rsid w:val="00850041"/>
    <w:rsid w:val="00850243"/>
    <w:rsid w:val="00852B03"/>
    <w:rsid w:val="00854914"/>
    <w:rsid w:val="00872BBB"/>
    <w:rsid w:val="00872C7E"/>
    <w:rsid w:val="00875C64"/>
    <w:rsid w:val="00877807"/>
    <w:rsid w:val="008811AA"/>
    <w:rsid w:val="0088678A"/>
    <w:rsid w:val="008A0D99"/>
    <w:rsid w:val="008A3DB2"/>
    <w:rsid w:val="008B16FD"/>
    <w:rsid w:val="008B1B15"/>
    <w:rsid w:val="008B1C4B"/>
    <w:rsid w:val="008B43FE"/>
    <w:rsid w:val="008B70F1"/>
    <w:rsid w:val="008C16DB"/>
    <w:rsid w:val="008E5CA1"/>
    <w:rsid w:val="008E7318"/>
    <w:rsid w:val="008F0B63"/>
    <w:rsid w:val="008F11FF"/>
    <w:rsid w:val="008F3282"/>
    <w:rsid w:val="008F5FA1"/>
    <w:rsid w:val="008F7B59"/>
    <w:rsid w:val="009035D6"/>
    <w:rsid w:val="009102EC"/>
    <w:rsid w:val="00911EFA"/>
    <w:rsid w:val="0092222B"/>
    <w:rsid w:val="009254DC"/>
    <w:rsid w:val="009269C0"/>
    <w:rsid w:val="00927237"/>
    <w:rsid w:val="00935BF1"/>
    <w:rsid w:val="009364E6"/>
    <w:rsid w:val="00960A5D"/>
    <w:rsid w:val="00961AD4"/>
    <w:rsid w:val="00962161"/>
    <w:rsid w:val="0097234C"/>
    <w:rsid w:val="00974BA0"/>
    <w:rsid w:val="00977940"/>
    <w:rsid w:val="00990450"/>
    <w:rsid w:val="00990485"/>
    <w:rsid w:val="0099286D"/>
    <w:rsid w:val="0099561A"/>
    <w:rsid w:val="009A1E7E"/>
    <w:rsid w:val="009A26CB"/>
    <w:rsid w:val="009A5AE1"/>
    <w:rsid w:val="009A71BA"/>
    <w:rsid w:val="009A72EE"/>
    <w:rsid w:val="009B5A36"/>
    <w:rsid w:val="009B7993"/>
    <w:rsid w:val="009B79CA"/>
    <w:rsid w:val="009C2977"/>
    <w:rsid w:val="009C49C5"/>
    <w:rsid w:val="009F3E41"/>
    <w:rsid w:val="00A05DBB"/>
    <w:rsid w:val="00A11797"/>
    <w:rsid w:val="00A12932"/>
    <w:rsid w:val="00A1440F"/>
    <w:rsid w:val="00A14ACE"/>
    <w:rsid w:val="00A14E11"/>
    <w:rsid w:val="00A167D5"/>
    <w:rsid w:val="00A214EE"/>
    <w:rsid w:val="00A27353"/>
    <w:rsid w:val="00A31D46"/>
    <w:rsid w:val="00A3393B"/>
    <w:rsid w:val="00A43288"/>
    <w:rsid w:val="00A43B31"/>
    <w:rsid w:val="00A45CE3"/>
    <w:rsid w:val="00A5030E"/>
    <w:rsid w:val="00A64282"/>
    <w:rsid w:val="00A768D0"/>
    <w:rsid w:val="00A77946"/>
    <w:rsid w:val="00A81B5B"/>
    <w:rsid w:val="00A81D13"/>
    <w:rsid w:val="00A86227"/>
    <w:rsid w:val="00AA3006"/>
    <w:rsid w:val="00AA31B2"/>
    <w:rsid w:val="00AB260B"/>
    <w:rsid w:val="00AB7ADE"/>
    <w:rsid w:val="00AC18D6"/>
    <w:rsid w:val="00AC4A3E"/>
    <w:rsid w:val="00AD0501"/>
    <w:rsid w:val="00AD132E"/>
    <w:rsid w:val="00AD5004"/>
    <w:rsid w:val="00AD6E52"/>
    <w:rsid w:val="00AE023A"/>
    <w:rsid w:val="00AE1F23"/>
    <w:rsid w:val="00AE538A"/>
    <w:rsid w:val="00AF0280"/>
    <w:rsid w:val="00AF0381"/>
    <w:rsid w:val="00AF199B"/>
    <w:rsid w:val="00B01F64"/>
    <w:rsid w:val="00B036D2"/>
    <w:rsid w:val="00B078D0"/>
    <w:rsid w:val="00B23909"/>
    <w:rsid w:val="00B23E77"/>
    <w:rsid w:val="00B27A7C"/>
    <w:rsid w:val="00B34F73"/>
    <w:rsid w:val="00B41677"/>
    <w:rsid w:val="00B47FFE"/>
    <w:rsid w:val="00B510F8"/>
    <w:rsid w:val="00B54CC6"/>
    <w:rsid w:val="00B55EC6"/>
    <w:rsid w:val="00B62D83"/>
    <w:rsid w:val="00B64A3D"/>
    <w:rsid w:val="00B6531F"/>
    <w:rsid w:val="00B67161"/>
    <w:rsid w:val="00B7249A"/>
    <w:rsid w:val="00B757B9"/>
    <w:rsid w:val="00B75ED7"/>
    <w:rsid w:val="00B764E9"/>
    <w:rsid w:val="00B77181"/>
    <w:rsid w:val="00B77392"/>
    <w:rsid w:val="00B825DE"/>
    <w:rsid w:val="00B84EFC"/>
    <w:rsid w:val="00B85288"/>
    <w:rsid w:val="00B94644"/>
    <w:rsid w:val="00B94F99"/>
    <w:rsid w:val="00BA2430"/>
    <w:rsid w:val="00BA4C49"/>
    <w:rsid w:val="00BB10B3"/>
    <w:rsid w:val="00BB453D"/>
    <w:rsid w:val="00BB4C55"/>
    <w:rsid w:val="00BB5C01"/>
    <w:rsid w:val="00BC030A"/>
    <w:rsid w:val="00BC3F52"/>
    <w:rsid w:val="00BC49C5"/>
    <w:rsid w:val="00BD6665"/>
    <w:rsid w:val="00BD6885"/>
    <w:rsid w:val="00BE311F"/>
    <w:rsid w:val="00BE7A2D"/>
    <w:rsid w:val="00C02C11"/>
    <w:rsid w:val="00C0711F"/>
    <w:rsid w:val="00C11569"/>
    <w:rsid w:val="00C16E19"/>
    <w:rsid w:val="00C210D6"/>
    <w:rsid w:val="00C2157F"/>
    <w:rsid w:val="00C22E03"/>
    <w:rsid w:val="00C266C2"/>
    <w:rsid w:val="00C32C46"/>
    <w:rsid w:val="00C36A99"/>
    <w:rsid w:val="00C36C33"/>
    <w:rsid w:val="00C42E45"/>
    <w:rsid w:val="00C46A7B"/>
    <w:rsid w:val="00C47A82"/>
    <w:rsid w:val="00C51AD4"/>
    <w:rsid w:val="00C51E56"/>
    <w:rsid w:val="00C525C9"/>
    <w:rsid w:val="00C6036C"/>
    <w:rsid w:val="00C6195F"/>
    <w:rsid w:val="00C61F77"/>
    <w:rsid w:val="00C646A6"/>
    <w:rsid w:val="00C651B1"/>
    <w:rsid w:val="00C659E7"/>
    <w:rsid w:val="00C6725C"/>
    <w:rsid w:val="00C717DD"/>
    <w:rsid w:val="00C86C4B"/>
    <w:rsid w:val="00C87F7B"/>
    <w:rsid w:val="00C90AAE"/>
    <w:rsid w:val="00C94ED6"/>
    <w:rsid w:val="00C96D9C"/>
    <w:rsid w:val="00CA5D80"/>
    <w:rsid w:val="00CA6003"/>
    <w:rsid w:val="00CA7813"/>
    <w:rsid w:val="00CB5333"/>
    <w:rsid w:val="00CB6AA0"/>
    <w:rsid w:val="00CC1DBD"/>
    <w:rsid w:val="00CC28CB"/>
    <w:rsid w:val="00CC3271"/>
    <w:rsid w:val="00CC536C"/>
    <w:rsid w:val="00CC73B9"/>
    <w:rsid w:val="00CD3811"/>
    <w:rsid w:val="00CE75BC"/>
    <w:rsid w:val="00CE76C8"/>
    <w:rsid w:val="00CE786F"/>
    <w:rsid w:val="00CF1F32"/>
    <w:rsid w:val="00D01E99"/>
    <w:rsid w:val="00D0334F"/>
    <w:rsid w:val="00D061B7"/>
    <w:rsid w:val="00D201A5"/>
    <w:rsid w:val="00D20460"/>
    <w:rsid w:val="00D22AA4"/>
    <w:rsid w:val="00D245D9"/>
    <w:rsid w:val="00D27D77"/>
    <w:rsid w:val="00D27F55"/>
    <w:rsid w:val="00D3220D"/>
    <w:rsid w:val="00D32244"/>
    <w:rsid w:val="00D35792"/>
    <w:rsid w:val="00D35CF8"/>
    <w:rsid w:val="00D35F13"/>
    <w:rsid w:val="00D4074B"/>
    <w:rsid w:val="00D42D21"/>
    <w:rsid w:val="00D44EEC"/>
    <w:rsid w:val="00D53C70"/>
    <w:rsid w:val="00D57643"/>
    <w:rsid w:val="00D6194D"/>
    <w:rsid w:val="00D63655"/>
    <w:rsid w:val="00D74816"/>
    <w:rsid w:val="00D75F8F"/>
    <w:rsid w:val="00D90E13"/>
    <w:rsid w:val="00D9609D"/>
    <w:rsid w:val="00DA04B5"/>
    <w:rsid w:val="00DA38C7"/>
    <w:rsid w:val="00DA3E21"/>
    <w:rsid w:val="00DB69F2"/>
    <w:rsid w:val="00DC4096"/>
    <w:rsid w:val="00DC6629"/>
    <w:rsid w:val="00DC791F"/>
    <w:rsid w:val="00DE49A0"/>
    <w:rsid w:val="00DF00A3"/>
    <w:rsid w:val="00DF1346"/>
    <w:rsid w:val="00DF2671"/>
    <w:rsid w:val="00E011DC"/>
    <w:rsid w:val="00E02194"/>
    <w:rsid w:val="00E0265D"/>
    <w:rsid w:val="00E062D6"/>
    <w:rsid w:val="00E163AA"/>
    <w:rsid w:val="00E32E09"/>
    <w:rsid w:val="00E3674B"/>
    <w:rsid w:val="00E56297"/>
    <w:rsid w:val="00E57B6C"/>
    <w:rsid w:val="00E62A2F"/>
    <w:rsid w:val="00E6696C"/>
    <w:rsid w:val="00E66DDD"/>
    <w:rsid w:val="00E709D9"/>
    <w:rsid w:val="00E725EF"/>
    <w:rsid w:val="00E84E20"/>
    <w:rsid w:val="00E8789D"/>
    <w:rsid w:val="00E920C0"/>
    <w:rsid w:val="00E928C1"/>
    <w:rsid w:val="00E95141"/>
    <w:rsid w:val="00E97A12"/>
    <w:rsid w:val="00EA07EF"/>
    <w:rsid w:val="00EA31C2"/>
    <w:rsid w:val="00EB3E9B"/>
    <w:rsid w:val="00EB6344"/>
    <w:rsid w:val="00EB7F86"/>
    <w:rsid w:val="00EC23E3"/>
    <w:rsid w:val="00ED3315"/>
    <w:rsid w:val="00EE3639"/>
    <w:rsid w:val="00EE50AC"/>
    <w:rsid w:val="00EE5200"/>
    <w:rsid w:val="00EF1EDE"/>
    <w:rsid w:val="00EF418A"/>
    <w:rsid w:val="00F0614C"/>
    <w:rsid w:val="00F07FA8"/>
    <w:rsid w:val="00F12CB0"/>
    <w:rsid w:val="00F13F3D"/>
    <w:rsid w:val="00F32762"/>
    <w:rsid w:val="00F33B30"/>
    <w:rsid w:val="00F34062"/>
    <w:rsid w:val="00F40C8C"/>
    <w:rsid w:val="00F42A3C"/>
    <w:rsid w:val="00F42C4E"/>
    <w:rsid w:val="00F46FE4"/>
    <w:rsid w:val="00F50455"/>
    <w:rsid w:val="00F614D5"/>
    <w:rsid w:val="00F70B63"/>
    <w:rsid w:val="00F77A0E"/>
    <w:rsid w:val="00F84A34"/>
    <w:rsid w:val="00F84BAE"/>
    <w:rsid w:val="00F84E29"/>
    <w:rsid w:val="00F87C23"/>
    <w:rsid w:val="00F91251"/>
    <w:rsid w:val="00F95223"/>
    <w:rsid w:val="00F95899"/>
    <w:rsid w:val="00F97FAD"/>
    <w:rsid w:val="00FA1FAE"/>
    <w:rsid w:val="00FA7F4C"/>
    <w:rsid w:val="00FD02AF"/>
    <w:rsid w:val="00FD0A59"/>
    <w:rsid w:val="00FD6746"/>
    <w:rsid w:val="00FE2DE5"/>
    <w:rsid w:val="00FE456D"/>
    <w:rsid w:val="00FF1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A82A0"/>
  <w15:chartTrackingRefBased/>
  <w15:docId w15:val="{C8D1CF4D-C291-4440-BAE4-31D0721E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F03"/>
    <w:rPr>
      <w:rFonts w:ascii="Times New Roman" w:eastAsia="Times New Roman" w:hAnsi="Times New Roman" w:cs="Times New Roman"/>
    </w:rPr>
  </w:style>
  <w:style w:type="paragraph" w:styleId="Heading3">
    <w:name w:val="heading 3"/>
    <w:basedOn w:val="Normal"/>
    <w:link w:val="Heading3Char"/>
    <w:uiPriority w:val="9"/>
    <w:qFormat/>
    <w:rsid w:val="003F1FA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36C"/>
    <w:pPr>
      <w:tabs>
        <w:tab w:val="center" w:pos="4680"/>
        <w:tab w:val="right" w:pos="9360"/>
      </w:tabs>
    </w:pPr>
  </w:style>
  <w:style w:type="character" w:customStyle="1" w:styleId="HeaderChar">
    <w:name w:val="Header Char"/>
    <w:basedOn w:val="DefaultParagraphFont"/>
    <w:link w:val="Header"/>
    <w:uiPriority w:val="99"/>
    <w:rsid w:val="00C6036C"/>
    <w:rPr>
      <w:rFonts w:ascii="Times New Roman" w:eastAsia="Times New Roman" w:hAnsi="Times New Roman" w:cs="Times New Roman"/>
    </w:rPr>
  </w:style>
  <w:style w:type="paragraph" w:styleId="Footer">
    <w:name w:val="footer"/>
    <w:basedOn w:val="Normal"/>
    <w:link w:val="FooterChar"/>
    <w:uiPriority w:val="99"/>
    <w:unhideWhenUsed/>
    <w:rsid w:val="00C6036C"/>
    <w:pPr>
      <w:tabs>
        <w:tab w:val="center" w:pos="4680"/>
        <w:tab w:val="right" w:pos="9360"/>
      </w:tabs>
    </w:pPr>
  </w:style>
  <w:style w:type="character" w:customStyle="1" w:styleId="FooterChar">
    <w:name w:val="Footer Char"/>
    <w:basedOn w:val="DefaultParagraphFont"/>
    <w:link w:val="Footer"/>
    <w:uiPriority w:val="99"/>
    <w:rsid w:val="00C6036C"/>
    <w:rPr>
      <w:rFonts w:ascii="Times New Roman" w:eastAsia="Times New Roman" w:hAnsi="Times New Roman" w:cs="Times New Roman"/>
    </w:rPr>
  </w:style>
  <w:style w:type="paragraph" w:styleId="ListParagraph">
    <w:name w:val="List Paragraph"/>
    <w:basedOn w:val="Normal"/>
    <w:uiPriority w:val="34"/>
    <w:qFormat/>
    <w:rsid w:val="006E1506"/>
    <w:pPr>
      <w:ind w:left="720"/>
      <w:contextualSpacing/>
    </w:pPr>
  </w:style>
  <w:style w:type="paragraph" w:styleId="FootnoteText">
    <w:name w:val="footnote text"/>
    <w:basedOn w:val="Normal"/>
    <w:link w:val="FootnoteTextChar"/>
    <w:uiPriority w:val="99"/>
    <w:semiHidden/>
    <w:unhideWhenUsed/>
    <w:rsid w:val="00746853"/>
    <w:rPr>
      <w:sz w:val="20"/>
      <w:szCs w:val="20"/>
    </w:rPr>
  </w:style>
  <w:style w:type="character" w:customStyle="1" w:styleId="FootnoteTextChar">
    <w:name w:val="Footnote Text Char"/>
    <w:basedOn w:val="DefaultParagraphFont"/>
    <w:link w:val="FootnoteText"/>
    <w:uiPriority w:val="99"/>
    <w:semiHidden/>
    <w:rsid w:val="0074685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46853"/>
    <w:rPr>
      <w:vertAlign w:val="superscript"/>
    </w:rPr>
  </w:style>
  <w:style w:type="character" w:styleId="Hyperlink">
    <w:name w:val="Hyperlink"/>
    <w:basedOn w:val="DefaultParagraphFont"/>
    <w:uiPriority w:val="99"/>
    <w:unhideWhenUsed/>
    <w:rsid w:val="001576D0"/>
    <w:rPr>
      <w:color w:val="0563C1" w:themeColor="hyperlink"/>
      <w:u w:val="single"/>
    </w:rPr>
  </w:style>
  <w:style w:type="character" w:customStyle="1" w:styleId="UnresolvedMention1">
    <w:name w:val="Unresolved Mention1"/>
    <w:basedOn w:val="DefaultParagraphFont"/>
    <w:uiPriority w:val="99"/>
    <w:semiHidden/>
    <w:unhideWhenUsed/>
    <w:rsid w:val="001576D0"/>
    <w:rPr>
      <w:color w:val="605E5C"/>
      <w:shd w:val="clear" w:color="auto" w:fill="E1DFDD"/>
    </w:rPr>
  </w:style>
  <w:style w:type="character" w:styleId="PageNumber">
    <w:name w:val="page number"/>
    <w:basedOn w:val="DefaultParagraphFont"/>
    <w:uiPriority w:val="99"/>
    <w:semiHidden/>
    <w:unhideWhenUsed/>
    <w:rsid w:val="00CE75BC"/>
  </w:style>
  <w:style w:type="character" w:styleId="FollowedHyperlink">
    <w:name w:val="FollowedHyperlink"/>
    <w:basedOn w:val="DefaultParagraphFont"/>
    <w:uiPriority w:val="99"/>
    <w:semiHidden/>
    <w:unhideWhenUsed/>
    <w:rsid w:val="00415281"/>
    <w:rPr>
      <w:color w:val="954F72" w:themeColor="followedHyperlink"/>
      <w:u w:val="single"/>
    </w:rPr>
  </w:style>
  <w:style w:type="character" w:customStyle="1" w:styleId="Heading3Char">
    <w:name w:val="Heading 3 Char"/>
    <w:basedOn w:val="DefaultParagraphFont"/>
    <w:link w:val="Heading3"/>
    <w:uiPriority w:val="9"/>
    <w:rsid w:val="003F1FA9"/>
    <w:rPr>
      <w:rFonts w:ascii="Times New Roman" w:eastAsia="Times New Roman" w:hAnsi="Times New Roman" w:cs="Times New Roman"/>
      <w:b/>
      <w:bCs/>
      <w:sz w:val="27"/>
      <w:szCs w:val="27"/>
    </w:rPr>
  </w:style>
  <w:style w:type="paragraph" w:customStyle="1" w:styleId="TextParagraph95pt">
    <w:name w:val="Text Paragraph 9.5pt"/>
    <w:basedOn w:val="Normal"/>
    <w:rsid w:val="003F1FA9"/>
    <w:pPr>
      <w:spacing w:before="100" w:after="100" w:line="230" w:lineRule="exact"/>
      <w:ind w:firstLine="446"/>
      <w:jc w:val="both"/>
    </w:pPr>
    <w:rPr>
      <w:rFonts w:ascii="Century Schoolbook" w:hAnsi="Century Schoolbook"/>
      <w:sz w:val="19"/>
      <w:szCs w:val="20"/>
    </w:rPr>
  </w:style>
  <w:style w:type="paragraph" w:styleId="BalloonText">
    <w:name w:val="Balloon Text"/>
    <w:basedOn w:val="Normal"/>
    <w:link w:val="BalloonTextChar"/>
    <w:uiPriority w:val="99"/>
    <w:semiHidden/>
    <w:unhideWhenUsed/>
    <w:rsid w:val="00B62D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D83"/>
    <w:rPr>
      <w:rFonts w:ascii="Segoe UI" w:eastAsia="Times New Roman" w:hAnsi="Segoe UI" w:cs="Segoe UI"/>
      <w:sz w:val="18"/>
      <w:szCs w:val="18"/>
    </w:rPr>
  </w:style>
  <w:style w:type="paragraph" w:styleId="Revision">
    <w:name w:val="Revision"/>
    <w:hidden/>
    <w:uiPriority w:val="99"/>
    <w:semiHidden/>
    <w:rsid w:val="00F42A3C"/>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364123"/>
    <w:rPr>
      <w:color w:val="605E5C"/>
      <w:shd w:val="clear" w:color="auto" w:fill="E1DFDD"/>
    </w:rPr>
  </w:style>
  <w:style w:type="character" w:styleId="CommentReference">
    <w:name w:val="annotation reference"/>
    <w:basedOn w:val="DefaultParagraphFont"/>
    <w:uiPriority w:val="99"/>
    <w:semiHidden/>
    <w:unhideWhenUsed/>
    <w:rsid w:val="00F07FA8"/>
    <w:rPr>
      <w:sz w:val="16"/>
      <w:szCs w:val="16"/>
    </w:rPr>
  </w:style>
  <w:style w:type="paragraph" w:styleId="CommentText">
    <w:name w:val="annotation text"/>
    <w:basedOn w:val="Normal"/>
    <w:link w:val="CommentTextChar"/>
    <w:uiPriority w:val="99"/>
    <w:semiHidden/>
    <w:unhideWhenUsed/>
    <w:rsid w:val="00F07FA8"/>
    <w:rPr>
      <w:sz w:val="20"/>
      <w:szCs w:val="20"/>
    </w:rPr>
  </w:style>
  <w:style w:type="character" w:customStyle="1" w:styleId="CommentTextChar">
    <w:name w:val="Comment Text Char"/>
    <w:basedOn w:val="DefaultParagraphFont"/>
    <w:link w:val="CommentText"/>
    <w:uiPriority w:val="99"/>
    <w:semiHidden/>
    <w:rsid w:val="00F07F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7FA8"/>
    <w:rPr>
      <w:b/>
      <w:bCs/>
    </w:rPr>
  </w:style>
  <w:style w:type="character" w:customStyle="1" w:styleId="CommentSubjectChar">
    <w:name w:val="Comment Subject Char"/>
    <w:basedOn w:val="CommentTextChar"/>
    <w:link w:val="CommentSubject"/>
    <w:uiPriority w:val="99"/>
    <w:semiHidden/>
    <w:rsid w:val="00F07FA8"/>
    <w:rPr>
      <w:rFonts w:ascii="Times New Roman" w:eastAsia="Times New Roman" w:hAnsi="Times New Roman" w:cs="Times New Roman"/>
      <w:b/>
      <w:bCs/>
      <w:sz w:val="20"/>
      <w:szCs w:val="20"/>
    </w:rPr>
  </w:style>
  <w:style w:type="paragraph" w:customStyle="1" w:styleId="Default">
    <w:name w:val="Default"/>
    <w:rsid w:val="00343F1C"/>
    <w:pPr>
      <w:autoSpaceDE w:val="0"/>
      <w:autoSpaceDN w:val="0"/>
      <w:adjustRightInd w:val="0"/>
    </w:pPr>
    <w:rPr>
      <w:rFonts w:ascii="Times New Roman" w:hAnsi="Times New Roman" w:cs="Times New Roman"/>
      <w:color w:val="000000"/>
    </w:rPr>
  </w:style>
  <w:style w:type="character" w:customStyle="1" w:styleId="ref-journal">
    <w:name w:val="ref-journal"/>
    <w:basedOn w:val="DefaultParagraphFont"/>
    <w:rsid w:val="00877807"/>
  </w:style>
  <w:style w:type="character" w:customStyle="1" w:styleId="ref-vol">
    <w:name w:val="ref-vol"/>
    <w:basedOn w:val="DefaultParagraphFont"/>
    <w:rsid w:val="00877807"/>
  </w:style>
  <w:style w:type="character" w:customStyle="1" w:styleId="UnresolvedMention3">
    <w:name w:val="Unresolved Mention3"/>
    <w:basedOn w:val="DefaultParagraphFont"/>
    <w:uiPriority w:val="99"/>
    <w:semiHidden/>
    <w:unhideWhenUsed/>
    <w:rsid w:val="00CA7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3C19A-0EF4-4962-806B-EA58418FD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2463</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Primus, Eve</cp:lastModifiedBy>
  <cp:revision>3</cp:revision>
  <dcterms:created xsi:type="dcterms:W3CDTF">2024-11-25T16:19:00Z</dcterms:created>
  <dcterms:modified xsi:type="dcterms:W3CDTF">2024-11-25T16:21:00Z</dcterms:modified>
</cp:coreProperties>
</file>