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518F" w14:textId="77777777" w:rsidR="00DE7123" w:rsidRPr="00EF6168" w:rsidRDefault="00FA17CB" w:rsidP="00E10FB5">
      <w:pPr>
        <w:jc w:val="right"/>
      </w:pPr>
      <w:r w:rsidRPr="00EF6168">
        <w:t>JUDGE</w:t>
      </w:r>
      <w:r w:rsidR="003C5C97" w:rsidRPr="00EF6168">
        <w:t xml:space="preserve"> JAMES L. ROBART</w:t>
      </w:r>
    </w:p>
    <w:p w14:paraId="5D4BC2CC" w14:textId="77777777" w:rsidR="00FA17CB" w:rsidRPr="00EF6168" w:rsidRDefault="00FA17CB" w:rsidP="00DE7123"/>
    <w:p w14:paraId="3E7D02DF" w14:textId="77777777" w:rsidR="00FA17CB" w:rsidRPr="00EF6168" w:rsidRDefault="00941231" w:rsidP="00941231">
      <w:pPr>
        <w:tabs>
          <w:tab w:val="left" w:pos="2010"/>
        </w:tabs>
      </w:pPr>
      <w:r w:rsidRPr="00EF6168">
        <w:tab/>
      </w:r>
    </w:p>
    <w:p w14:paraId="5CE3FB07" w14:textId="77777777" w:rsidR="00FA17CB" w:rsidRPr="00EF6168" w:rsidRDefault="00FA17CB" w:rsidP="00DE7123"/>
    <w:p w14:paraId="31222977" w14:textId="77777777" w:rsidR="00FA17CB" w:rsidRPr="00EF6168" w:rsidRDefault="00FA17CB" w:rsidP="00FA17CB">
      <w:pPr>
        <w:spacing w:line="240" w:lineRule="auto"/>
        <w:jc w:val="center"/>
      </w:pPr>
      <w:r w:rsidRPr="00EF6168">
        <w:t>UNITED STATES DISTRICT COURT</w:t>
      </w:r>
    </w:p>
    <w:p w14:paraId="069D7F9E" w14:textId="77777777" w:rsidR="00FA17CB" w:rsidRPr="00EF6168" w:rsidRDefault="00FA17CB" w:rsidP="00FA17CB">
      <w:pPr>
        <w:spacing w:line="240" w:lineRule="auto"/>
        <w:jc w:val="center"/>
      </w:pPr>
      <w:r w:rsidRPr="00EF6168">
        <w:t>WESTERN DISTRICT OF WASHINGTON</w:t>
      </w:r>
    </w:p>
    <w:p w14:paraId="63358B84" w14:textId="77777777" w:rsidR="00910341" w:rsidRPr="00EF6168" w:rsidRDefault="00FA17CB" w:rsidP="00873560">
      <w:pPr>
        <w:spacing w:line="240" w:lineRule="auto"/>
        <w:jc w:val="center"/>
      </w:pPr>
      <w:r w:rsidRPr="00EF6168">
        <w:t>AT SEATTLE</w:t>
      </w:r>
    </w:p>
    <w:p w14:paraId="18362CDC" w14:textId="77777777" w:rsidR="00910341" w:rsidRPr="00EF6168" w:rsidRDefault="00910341" w:rsidP="00873560"/>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910341" w:rsidRPr="00EF6168" w14:paraId="37AC6D8D" w14:textId="77777777" w:rsidTr="00071FE0">
        <w:tc>
          <w:tcPr>
            <w:tcW w:w="4542" w:type="dxa"/>
            <w:tcBorders>
              <w:bottom w:val="single" w:sz="4" w:space="0" w:color="auto"/>
            </w:tcBorders>
            <w:shd w:val="clear" w:color="auto" w:fill="auto"/>
          </w:tcPr>
          <w:p w14:paraId="7163A898" w14:textId="77777777" w:rsidR="00910341" w:rsidRPr="00EF6168" w:rsidRDefault="00910341" w:rsidP="00071FE0">
            <w:pPr>
              <w:spacing w:line="245" w:lineRule="exact"/>
              <w:ind w:right="187"/>
            </w:pPr>
            <w:r w:rsidRPr="00EF6168">
              <w:t>UNITED STATES OF AMERICA,</w:t>
            </w:r>
          </w:p>
          <w:p w14:paraId="1747C3A9" w14:textId="77777777" w:rsidR="00910341" w:rsidRPr="00EF6168" w:rsidRDefault="00910341" w:rsidP="00071FE0">
            <w:pPr>
              <w:tabs>
                <w:tab w:val="left" w:pos="1500"/>
              </w:tabs>
              <w:spacing w:line="245" w:lineRule="exact"/>
              <w:ind w:right="187"/>
            </w:pPr>
          </w:p>
          <w:p w14:paraId="3729E85C" w14:textId="77777777" w:rsidR="00910341" w:rsidRPr="00EF6168" w:rsidRDefault="00910341" w:rsidP="00071FE0">
            <w:pPr>
              <w:tabs>
                <w:tab w:val="left" w:pos="1500"/>
              </w:tabs>
              <w:spacing w:line="245" w:lineRule="exact"/>
              <w:ind w:right="187"/>
            </w:pPr>
            <w:r w:rsidRPr="00EF6168">
              <w:tab/>
              <w:t>Plaintiff,</w:t>
            </w:r>
          </w:p>
          <w:p w14:paraId="5DC3F394" w14:textId="77777777" w:rsidR="00910341" w:rsidRPr="00EF6168" w:rsidRDefault="00910341" w:rsidP="00071FE0">
            <w:pPr>
              <w:tabs>
                <w:tab w:val="left" w:pos="1500"/>
              </w:tabs>
              <w:spacing w:line="245" w:lineRule="exact"/>
              <w:ind w:right="187"/>
            </w:pPr>
          </w:p>
          <w:p w14:paraId="41644CA8" w14:textId="77777777" w:rsidR="00910341" w:rsidRPr="00EF6168" w:rsidRDefault="00910341" w:rsidP="00910341">
            <w:pPr>
              <w:tabs>
                <w:tab w:val="left" w:pos="1080"/>
              </w:tabs>
              <w:spacing w:line="245" w:lineRule="exact"/>
              <w:ind w:right="187"/>
            </w:pPr>
            <w:r w:rsidRPr="00EF6168">
              <w:tab/>
              <w:t>v.</w:t>
            </w:r>
          </w:p>
          <w:p w14:paraId="3FDDA558" w14:textId="77777777" w:rsidR="00910341" w:rsidRPr="00EF6168" w:rsidRDefault="00910341" w:rsidP="00071FE0">
            <w:pPr>
              <w:tabs>
                <w:tab w:val="left" w:pos="700"/>
              </w:tabs>
              <w:spacing w:line="245" w:lineRule="exact"/>
              <w:ind w:right="187"/>
            </w:pPr>
          </w:p>
          <w:p w14:paraId="351CF26B" w14:textId="79C5B960" w:rsidR="00910341" w:rsidRPr="00EF6168" w:rsidRDefault="00074C2F" w:rsidP="00071FE0">
            <w:pPr>
              <w:spacing w:line="245" w:lineRule="exact"/>
              <w:ind w:right="187"/>
              <w:rPr>
                <w:caps/>
              </w:rPr>
            </w:pPr>
            <w:r>
              <w:rPr>
                <w:caps/>
              </w:rPr>
              <w:t>JOHN DOE</w:t>
            </w:r>
            <w:r w:rsidR="00910341" w:rsidRPr="00EF6168">
              <w:rPr>
                <w:caps/>
              </w:rPr>
              <w:t>,</w:t>
            </w:r>
          </w:p>
          <w:p w14:paraId="328CB75B" w14:textId="77777777" w:rsidR="00910341" w:rsidRPr="00EF6168" w:rsidRDefault="00910341" w:rsidP="00071FE0">
            <w:pPr>
              <w:spacing w:line="245" w:lineRule="exact"/>
              <w:ind w:right="187"/>
            </w:pPr>
          </w:p>
          <w:p w14:paraId="5B62F8A5" w14:textId="77777777" w:rsidR="00910341" w:rsidRPr="00EF6168" w:rsidRDefault="00910341" w:rsidP="00071FE0">
            <w:pPr>
              <w:tabs>
                <w:tab w:val="left" w:pos="1500"/>
              </w:tabs>
              <w:spacing w:line="245" w:lineRule="exact"/>
              <w:ind w:right="187"/>
            </w:pPr>
            <w:r w:rsidRPr="00EF6168">
              <w:tab/>
              <w:t>Defendant.</w:t>
            </w:r>
          </w:p>
        </w:tc>
        <w:tc>
          <w:tcPr>
            <w:tcW w:w="276" w:type="dxa"/>
            <w:shd w:val="clear" w:color="auto" w:fill="auto"/>
          </w:tcPr>
          <w:p w14:paraId="7EE9C2EE" w14:textId="77777777" w:rsidR="00910341" w:rsidRPr="00EF6168" w:rsidRDefault="00910341" w:rsidP="00071FE0">
            <w:pPr>
              <w:pStyle w:val="SingleSpacing"/>
              <w:ind w:right="187"/>
            </w:pPr>
            <w:r w:rsidRPr="00EF6168">
              <w:t>)</w:t>
            </w:r>
          </w:p>
          <w:p w14:paraId="68E8215D" w14:textId="77777777" w:rsidR="00910341" w:rsidRPr="00EF6168" w:rsidRDefault="00910341" w:rsidP="00071FE0">
            <w:pPr>
              <w:pStyle w:val="SingleSpacing"/>
              <w:ind w:right="187"/>
            </w:pPr>
            <w:r w:rsidRPr="00EF6168">
              <w:t>)</w:t>
            </w:r>
          </w:p>
          <w:p w14:paraId="2C54E532" w14:textId="77777777" w:rsidR="00910341" w:rsidRPr="00EF6168" w:rsidRDefault="00910341" w:rsidP="00071FE0">
            <w:pPr>
              <w:pStyle w:val="SingleSpacing"/>
              <w:ind w:right="187"/>
            </w:pPr>
            <w:r w:rsidRPr="00EF6168">
              <w:t>)</w:t>
            </w:r>
          </w:p>
          <w:p w14:paraId="4FE98508" w14:textId="77777777" w:rsidR="00910341" w:rsidRPr="00EF6168" w:rsidRDefault="00910341" w:rsidP="00071FE0">
            <w:pPr>
              <w:pStyle w:val="SingleSpacing"/>
              <w:ind w:right="187"/>
            </w:pPr>
            <w:r w:rsidRPr="00EF6168">
              <w:t>)</w:t>
            </w:r>
          </w:p>
          <w:p w14:paraId="4CA163E4" w14:textId="77777777" w:rsidR="00910341" w:rsidRPr="00EF6168" w:rsidRDefault="00910341" w:rsidP="00071FE0">
            <w:pPr>
              <w:pStyle w:val="SingleSpacing"/>
              <w:ind w:right="187"/>
            </w:pPr>
            <w:r w:rsidRPr="00EF6168">
              <w:t>)</w:t>
            </w:r>
          </w:p>
          <w:p w14:paraId="6681EF74" w14:textId="77777777" w:rsidR="00910341" w:rsidRPr="00EF6168" w:rsidRDefault="00910341" w:rsidP="00071FE0">
            <w:pPr>
              <w:pStyle w:val="SingleSpacing"/>
              <w:ind w:right="187"/>
            </w:pPr>
            <w:r w:rsidRPr="00EF6168">
              <w:t>)</w:t>
            </w:r>
          </w:p>
          <w:p w14:paraId="21CC15E0" w14:textId="77777777" w:rsidR="00910341" w:rsidRPr="00EF6168" w:rsidRDefault="00910341" w:rsidP="00071FE0">
            <w:pPr>
              <w:pStyle w:val="SingleSpacing"/>
              <w:ind w:right="187"/>
            </w:pPr>
            <w:r w:rsidRPr="00EF6168">
              <w:t>)</w:t>
            </w:r>
          </w:p>
          <w:p w14:paraId="2D6FF8F5" w14:textId="77777777" w:rsidR="00910341" w:rsidRPr="00EF6168" w:rsidRDefault="00910341" w:rsidP="00071FE0">
            <w:pPr>
              <w:pStyle w:val="SingleSpacing"/>
              <w:ind w:right="187"/>
            </w:pPr>
            <w:r w:rsidRPr="00EF6168">
              <w:t>)</w:t>
            </w:r>
          </w:p>
          <w:p w14:paraId="3BAEACE4" w14:textId="77777777" w:rsidR="00910341" w:rsidRPr="00EF6168" w:rsidRDefault="00910341" w:rsidP="00071FE0">
            <w:pPr>
              <w:pStyle w:val="SingleSpacing"/>
              <w:ind w:right="187"/>
            </w:pPr>
            <w:r w:rsidRPr="00EF6168">
              <w:t>)</w:t>
            </w:r>
          </w:p>
          <w:p w14:paraId="372B7128" w14:textId="77777777" w:rsidR="00910341" w:rsidRPr="00EF6168" w:rsidRDefault="00910341" w:rsidP="00071FE0">
            <w:pPr>
              <w:pStyle w:val="SingleSpacing"/>
              <w:ind w:right="187"/>
            </w:pPr>
            <w:r w:rsidRPr="00EF6168">
              <w:t>)</w:t>
            </w:r>
          </w:p>
        </w:tc>
        <w:tc>
          <w:tcPr>
            <w:tcW w:w="4542" w:type="dxa"/>
            <w:shd w:val="clear" w:color="auto" w:fill="auto"/>
          </w:tcPr>
          <w:p w14:paraId="18A0EC91" w14:textId="761A918E" w:rsidR="00910341" w:rsidRPr="00EF6168" w:rsidRDefault="00910341" w:rsidP="00594C68">
            <w:pPr>
              <w:pStyle w:val="SingleSpacing"/>
              <w:ind w:right="187"/>
            </w:pPr>
            <w:r w:rsidRPr="00EF6168">
              <w:t>No.</w:t>
            </w:r>
            <w:r w:rsidR="003C5C97" w:rsidRPr="00EF6168">
              <w:t xml:space="preserve"> </w:t>
            </w:r>
          </w:p>
          <w:p w14:paraId="70A032C4" w14:textId="77777777" w:rsidR="00594C68" w:rsidRPr="00EF6168" w:rsidRDefault="00594C68" w:rsidP="00594C68">
            <w:pPr>
              <w:pStyle w:val="SingleSpacing"/>
              <w:ind w:right="187"/>
            </w:pPr>
          </w:p>
          <w:p w14:paraId="4CC87CF8" w14:textId="77777777" w:rsidR="00941231" w:rsidRPr="00EF6168" w:rsidRDefault="00941231" w:rsidP="00594C68">
            <w:pPr>
              <w:pStyle w:val="SingleSpacing"/>
              <w:ind w:right="187"/>
            </w:pPr>
          </w:p>
          <w:p w14:paraId="426F01FF" w14:textId="77777777" w:rsidR="00594C68" w:rsidRPr="00EF6168" w:rsidRDefault="00EA7512" w:rsidP="00594C68">
            <w:pPr>
              <w:pStyle w:val="SingleSpacing"/>
              <w:ind w:right="187"/>
            </w:pPr>
            <w:r w:rsidRPr="00EF6168">
              <w:t xml:space="preserve">MOTION TO EXCLUDE </w:t>
            </w:r>
            <w:r w:rsidR="00916F7C" w:rsidRPr="00EF6168">
              <w:t>DET. ATTEBURY’S</w:t>
            </w:r>
            <w:r w:rsidRPr="00EF6168">
              <w:t xml:space="preserve"> TESTIMONY</w:t>
            </w:r>
          </w:p>
        </w:tc>
      </w:tr>
    </w:tbl>
    <w:p w14:paraId="6CF392DC" w14:textId="439AB5E8" w:rsidR="00722A9D" w:rsidRPr="00EF6168" w:rsidRDefault="00F673DA" w:rsidP="00EE52FA">
      <w:pPr>
        <w:ind w:firstLine="720"/>
      </w:pPr>
      <w:r>
        <w:t xml:space="preserve">The government has notified </w:t>
      </w:r>
      <w:r w:rsidR="00074C2F">
        <w:t>John Doe</w:t>
      </w:r>
      <w:r>
        <w:t xml:space="preserve"> of its intent to offer</w:t>
      </w:r>
      <w:r w:rsidR="00EA7512" w:rsidRPr="00EF6168">
        <w:t xml:space="preserve"> King County Sheriff Detective Mark Attebury</w:t>
      </w:r>
      <w:r>
        <w:t xml:space="preserve"> as an </w:t>
      </w:r>
      <w:r w:rsidR="00B51547" w:rsidRPr="00EF6168">
        <w:t>“expert” in the shadowy world of street-level drug dealing and the following topics:</w:t>
      </w:r>
    </w:p>
    <w:p w14:paraId="5755FD8D" w14:textId="77777777" w:rsidR="00B51547" w:rsidRPr="00EF6168" w:rsidRDefault="00B51547" w:rsidP="00B51547">
      <w:pPr>
        <w:numPr>
          <w:ilvl w:val="0"/>
          <w:numId w:val="11"/>
        </w:numPr>
      </w:pPr>
      <w:r w:rsidRPr="00EF6168">
        <w:t>How drug deals are carried out;</w:t>
      </w:r>
    </w:p>
    <w:p w14:paraId="18ECFF57" w14:textId="77777777" w:rsidR="00B51547" w:rsidRPr="00EF6168" w:rsidRDefault="00B51547" w:rsidP="00B51547">
      <w:pPr>
        <w:numPr>
          <w:ilvl w:val="0"/>
          <w:numId w:val="11"/>
        </w:numPr>
      </w:pPr>
      <w:r w:rsidRPr="00EF6168">
        <w:t>User versus distribution quantities of narcotics and storage methods;</w:t>
      </w:r>
    </w:p>
    <w:p w14:paraId="570C5C69" w14:textId="77777777" w:rsidR="00916F7C" w:rsidRPr="00EF6168" w:rsidRDefault="00B51547" w:rsidP="00916F7C">
      <w:pPr>
        <w:numPr>
          <w:ilvl w:val="0"/>
          <w:numId w:val="11"/>
        </w:numPr>
        <w:spacing w:line="240" w:lineRule="auto"/>
      </w:pPr>
      <w:r w:rsidRPr="00EF6168">
        <w:t>The locations where drug dealers commonly store drugs and items used to facilitate their drug dealing;</w:t>
      </w:r>
    </w:p>
    <w:p w14:paraId="1041FDA4" w14:textId="77777777" w:rsidR="00B51547" w:rsidRPr="00EF6168" w:rsidRDefault="00B51547" w:rsidP="00916F7C">
      <w:pPr>
        <w:numPr>
          <w:ilvl w:val="0"/>
          <w:numId w:val="11"/>
        </w:numPr>
        <w:spacing w:line="240" w:lineRule="auto"/>
      </w:pPr>
      <w:r w:rsidRPr="00EF6168">
        <w:t>The use of code words and slang in negotiations over drug transactions, including slang terms for various kinds of drugs and different quantities of drugs;</w:t>
      </w:r>
    </w:p>
    <w:p w14:paraId="4EAC39B8" w14:textId="77777777" w:rsidR="00B51547" w:rsidRPr="00EF6168" w:rsidRDefault="00B51547" w:rsidP="00B51547">
      <w:pPr>
        <w:numPr>
          <w:ilvl w:val="0"/>
          <w:numId w:val="11"/>
        </w:numPr>
      </w:pPr>
      <w:r w:rsidRPr="00EF6168">
        <w:t>The practice of putting property in the names of others;</w:t>
      </w:r>
    </w:p>
    <w:p w14:paraId="402F2A13" w14:textId="77777777" w:rsidR="00B51547" w:rsidRPr="00EF6168" w:rsidRDefault="00B51547" w:rsidP="00B51547">
      <w:pPr>
        <w:numPr>
          <w:ilvl w:val="0"/>
          <w:numId w:val="11"/>
        </w:numPr>
      </w:pPr>
      <w:r w:rsidRPr="00EF6168">
        <w:t>The prices charged for various quantities of narcotics;</w:t>
      </w:r>
    </w:p>
    <w:p w14:paraId="6C6DF9C2" w14:textId="77777777" w:rsidR="00B51547" w:rsidRPr="00EF6168" w:rsidRDefault="00B51547" w:rsidP="00B51547">
      <w:pPr>
        <w:numPr>
          <w:ilvl w:val="0"/>
          <w:numId w:val="11"/>
        </w:numPr>
      </w:pPr>
      <w:r w:rsidRPr="00EF6168">
        <w:t>Methods used to avoid detection of drug trafficking; and</w:t>
      </w:r>
    </w:p>
    <w:p w14:paraId="52138608" w14:textId="77777777" w:rsidR="00B51547" w:rsidRPr="00EF6168" w:rsidRDefault="00B51547" w:rsidP="00B51547">
      <w:pPr>
        <w:numPr>
          <w:ilvl w:val="0"/>
          <w:numId w:val="11"/>
        </w:numPr>
      </w:pPr>
      <w:r w:rsidRPr="00EF6168">
        <w:t>The relationship between firearms and drug trafficking.</w:t>
      </w:r>
    </w:p>
    <w:p w14:paraId="5209B2CD" w14:textId="77777777" w:rsidR="00B0594D" w:rsidRPr="00EF6168" w:rsidRDefault="00B0594D" w:rsidP="00916F7C">
      <w:pPr>
        <w:ind w:firstLine="720"/>
      </w:pPr>
    </w:p>
    <w:p w14:paraId="591D50C4" w14:textId="77777777" w:rsidR="00B0594D" w:rsidRPr="00EF6168" w:rsidRDefault="00B0594D" w:rsidP="00B0594D">
      <w:r w:rsidRPr="00EF6168">
        <w:t>Ex. 1, Attebury Disclosure.</w:t>
      </w:r>
    </w:p>
    <w:p w14:paraId="54B0576D" w14:textId="58D55595" w:rsidR="00916F7C" w:rsidRPr="00EF6168" w:rsidRDefault="00916F7C" w:rsidP="00916F7C">
      <w:pPr>
        <w:ind w:firstLine="720"/>
      </w:pPr>
      <w:r w:rsidRPr="00EF6168">
        <w:lastRenderedPageBreak/>
        <w:t xml:space="preserve">This is classic impermissible profiling. </w:t>
      </w:r>
      <w:r w:rsidRPr="00EF6168">
        <w:rPr>
          <w:i/>
          <w:iCs/>
        </w:rPr>
        <w:t>See United States v. Wells</w:t>
      </w:r>
      <w:r w:rsidRPr="00EF6168">
        <w:t>, 879 F.3d 900, 919–24 (9th Cir. 2018) (reversing a conviction because the government used a generalized profile to “fit” a defendant’s personal characteristics). Profiling evidence is generally inadmissible because it invites the jury to convict a defendant because his characteristics match those of an archetypal criminal. That’s exactly what Det.</w:t>
      </w:r>
      <w:r w:rsidR="004829DF">
        <w:t> </w:t>
      </w:r>
      <w:r w:rsidRPr="00EF6168">
        <w:t>Attebury’s testimony will do, which makes it inadmissible.</w:t>
      </w:r>
    </w:p>
    <w:p w14:paraId="0C16E3D7" w14:textId="19F5DD14" w:rsidR="00B54D2F" w:rsidRDefault="00916F7C" w:rsidP="00E572B9">
      <w:pPr>
        <w:ind w:firstLine="720"/>
      </w:pPr>
      <w:r w:rsidRPr="00EF6168">
        <w:t>Det. Attebury</w:t>
      </w:r>
      <w:r w:rsidR="00B54D2F" w:rsidRPr="00EF6168">
        <w:t xml:space="preserve"> will also specifically testify </w:t>
      </w:r>
      <w:r w:rsidRPr="00EF6168">
        <w:t>that:</w:t>
      </w:r>
    </w:p>
    <w:p w14:paraId="082F0795" w14:textId="77777777" w:rsidR="009458E2" w:rsidRPr="00EF6168" w:rsidRDefault="009458E2" w:rsidP="00E572B9">
      <w:pPr>
        <w:ind w:firstLine="720"/>
      </w:pPr>
    </w:p>
    <w:p w14:paraId="652F7084" w14:textId="77777777" w:rsidR="00916F7C" w:rsidRPr="00EF6168" w:rsidRDefault="00916F7C" w:rsidP="00D25329">
      <w:pPr>
        <w:numPr>
          <w:ilvl w:val="0"/>
          <w:numId w:val="16"/>
        </w:numPr>
        <w:spacing w:after="120" w:line="240" w:lineRule="auto"/>
      </w:pPr>
      <w:r w:rsidRPr="00EF6168">
        <w:t>Fentanyl, cocaine, methamphetamine, and heroin are controlled substances;</w:t>
      </w:r>
    </w:p>
    <w:p w14:paraId="16C1D8FB" w14:textId="3B8D1D99" w:rsidR="00D25329" w:rsidRPr="00EF6168" w:rsidRDefault="00916F7C" w:rsidP="00D25329">
      <w:pPr>
        <w:numPr>
          <w:ilvl w:val="0"/>
          <w:numId w:val="16"/>
        </w:numPr>
        <w:spacing w:after="120"/>
      </w:pPr>
      <w:r w:rsidRPr="00EF6168">
        <w:t>Fentanyl, cocaine, methamphetamine, and heroin are addictive to users;</w:t>
      </w:r>
    </w:p>
    <w:p w14:paraId="5924E486" w14:textId="77777777" w:rsidR="00916F7C" w:rsidRPr="00EF6168" w:rsidRDefault="00916F7C" w:rsidP="00D25329">
      <w:pPr>
        <w:pStyle w:val="Default"/>
        <w:numPr>
          <w:ilvl w:val="0"/>
          <w:numId w:val="16"/>
        </w:numPr>
        <w:spacing w:after="120"/>
        <w:rPr>
          <w:color w:val="auto"/>
          <w:sz w:val="26"/>
          <w:szCs w:val="26"/>
        </w:rPr>
      </w:pPr>
      <w:r w:rsidRPr="00EF6168">
        <w:rPr>
          <w:color w:val="auto"/>
          <w:sz w:val="26"/>
          <w:szCs w:val="26"/>
        </w:rPr>
        <w:t xml:space="preserve">The amount of fentanyl, crack-cocaine, heroin, and fentanyl seized on February 16, 2022, from the defendant is consistent with the amounts possessed by street-level distributors, rather than users, of controlled substances; </w:t>
      </w:r>
    </w:p>
    <w:p w14:paraId="775FD639" w14:textId="29E532A9" w:rsidR="00916F7C" w:rsidRPr="00EF6168" w:rsidRDefault="00916F7C" w:rsidP="00D25329">
      <w:pPr>
        <w:pStyle w:val="Default"/>
        <w:numPr>
          <w:ilvl w:val="0"/>
          <w:numId w:val="16"/>
        </w:numPr>
        <w:spacing w:after="120"/>
        <w:rPr>
          <w:color w:val="auto"/>
          <w:sz w:val="26"/>
          <w:szCs w:val="26"/>
        </w:rPr>
      </w:pPr>
      <w:r w:rsidRPr="00EF6168">
        <w:rPr>
          <w:color w:val="auto"/>
          <w:sz w:val="26"/>
          <w:szCs w:val="26"/>
        </w:rPr>
        <w:t>The items seized on February 16, 2022,</w:t>
      </w:r>
      <w:r w:rsidR="009458E2">
        <w:rPr>
          <w:color w:val="auto"/>
          <w:sz w:val="26"/>
          <w:szCs w:val="26"/>
        </w:rPr>
        <w:t xml:space="preserve"> —</w:t>
      </w:r>
      <w:r w:rsidRPr="00EF6168">
        <w:rPr>
          <w:color w:val="auto"/>
          <w:sz w:val="26"/>
          <w:szCs w:val="26"/>
        </w:rPr>
        <w:t>currency, firearm, scoop, scales, baggies, and ammunition</w:t>
      </w:r>
      <w:r w:rsidR="009458E2">
        <w:rPr>
          <w:color w:val="auto"/>
          <w:sz w:val="26"/>
          <w:szCs w:val="26"/>
        </w:rPr>
        <w:t>—</w:t>
      </w:r>
      <w:r w:rsidRPr="00EF6168">
        <w:rPr>
          <w:color w:val="auto"/>
          <w:sz w:val="26"/>
          <w:szCs w:val="26"/>
        </w:rPr>
        <w:t xml:space="preserve">are consistent with items typically possessed by drug traffickers in the course of their drug trafficking business. </w:t>
      </w:r>
    </w:p>
    <w:p w14:paraId="32AA37FA" w14:textId="77777777" w:rsidR="00B0594D" w:rsidRPr="00EF6168" w:rsidRDefault="00B0594D" w:rsidP="00B0594D">
      <w:r w:rsidRPr="00EF6168">
        <w:t>Ex. 1.</w:t>
      </w:r>
    </w:p>
    <w:p w14:paraId="4732419E" w14:textId="3EF65839" w:rsidR="008738B0" w:rsidRPr="00EF6168" w:rsidRDefault="00E572B9" w:rsidP="00B0594D">
      <w:pPr>
        <w:ind w:firstLine="720"/>
      </w:pPr>
      <w:r w:rsidRPr="00EF6168">
        <w:t>Det. Attebury’s testimony suffers from other problems</w:t>
      </w:r>
      <w:r w:rsidR="00F673DA">
        <w:t xml:space="preserve"> and should be excluded</w:t>
      </w:r>
      <w:r w:rsidRPr="00EF6168">
        <w:t xml:space="preserve">. First, </w:t>
      </w:r>
      <w:r w:rsidR="008738B0" w:rsidRPr="00EF6168">
        <w:t>he should not be permitted to testify about code</w:t>
      </w:r>
      <w:r w:rsidR="006F68FA" w:rsidRPr="00EF6168">
        <w:t xml:space="preserve"> </w:t>
      </w:r>
      <w:r w:rsidR="008738B0" w:rsidRPr="00EF6168">
        <w:t>words</w:t>
      </w:r>
      <w:r w:rsidR="006F68FA" w:rsidRPr="00EF6168">
        <w:t xml:space="preserve">, </w:t>
      </w:r>
      <w:r w:rsidR="008738B0" w:rsidRPr="00EF6168">
        <w:t>that drug dealers put property in others’ names</w:t>
      </w:r>
      <w:r w:rsidR="006F68FA" w:rsidRPr="00EF6168">
        <w:t>, or the methods used to avoid detection</w:t>
      </w:r>
      <w:r w:rsidR="008738B0" w:rsidRPr="00EF6168">
        <w:t xml:space="preserve">. </w:t>
      </w:r>
      <w:r w:rsidR="00E6286C" w:rsidRPr="00EF6168">
        <w:t>These topics are irrelevant given the facts and circumstances of this case, and thus Det. Attebury’s proposed testimony will not assist the trier of fact determine a material fact</w:t>
      </w:r>
      <w:r w:rsidR="004829DF">
        <w:t xml:space="preserve"> and</w:t>
      </w:r>
      <w:r w:rsidR="00E6286C" w:rsidRPr="00EF6168">
        <w:t xml:space="preserve"> should be excluded. </w:t>
      </w:r>
      <w:r w:rsidR="00E6286C" w:rsidRPr="00EF6168">
        <w:rPr>
          <w:i/>
          <w:iCs/>
        </w:rPr>
        <w:t xml:space="preserve">See </w:t>
      </w:r>
      <w:r w:rsidR="00E6286C" w:rsidRPr="00EF6168">
        <w:t>Fed. R. Evid. 401, 702(a).</w:t>
      </w:r>
    </w:p>
    <w:p w14:paraId="6E0C3565" w14:textId="1D21AFD5" w:rsidR="00B51547" w:rsidRPr="00EF6168" w:rsidRDefault="008738B0" w:rsidP="00EE52FA">
      <w:pPr>
        <w:ind w:firstLine="720"/>
      </w:pPr>
      <w:r w:rsidRPr="00EF6168">
        <w:t xml:space="preserve">Second, </w:t>
      </w:r>
      <w:r w:rsidR="00916F7C" w:rsidRPr="00EF6168">
        <w:t>t</w:t>
      </w:r>
      <w:r w:rsidRPr="00EF6168">
        <w:t xml:space="preserve">he jury doesn’t need any specialized knowledge to understand </w:t>
      </w:r>
      <w:r w:rsidR="00916F7C" w:rsidRPr="00EF6168">
        <w:t xml:space="preserve">many </w:t>
      </w:r>
      <w:r w:rsidRPr="00EF6168">
        <w:t xml:space="preserve">commonsense </w:t>
      </w:r>
      <w:r w:rsidR="00916F7C" w:rsidRPr="00EF6168">
        <w:t xml:space="preserve">and well-known points: the charged drugs are addictive controlled substances; people use cash to buy drugs; and drug storage methods. </w:t>
      </w:r>
      <w:r w:rsidRPr="00EF6168">
        <w:t xml:space="preserve">Since </w:t>
      </w:r>
      <w:r w:rsidRPr="00EF6168">
        <w:lastRenderedPageBreak/>
        <w:t>Det.</w:t>
      </w:r>
      <w:r w:rsidR="004829DF">
        <w:t> </w:t>
      </w:r>
      <w:r w:rsidRPr="00EF6168">
        <w:t xml:space="preserve">Attebury’s specialized knowledge </w:t>
      </w:r>
      <w:r w:rsidR="009458E2">
        <w:t>is not</w:t>
      </w:r>
      <w:r w:rsidR="009458E2" w:rsidRPr="00EF6168">
        <w:t xml:space="preserve"> </w:t>
      </w:r>
      <w:r w:rsidRPr="00EF6168">
        <w:t xml:space="preserve">helpful, it’s not admissible. </w:t>
      </w:r>
      <w:r w:rsidRPr="00EF6168">
        <w:rPr>
          <w:i/>
          <w:iCs/>
        </w:rPr>
        <w:t xml:space="preserve">See </w:t>
      </w:r>
      <w:r w:rsidRPr="00EF6168">
        <w:t>Fed. R. Evid. 702(a). This sort of opinion testimony also has no basis in reliable methods or principles</w:t>
      </w:r>
      <w:r w:rsidR="00AB20CA" w:rsidRPr="00EF6168">
        <w:t xml:space="preserve">, </w:t>
      </w:r>
      <w:r w:rsidR="00AB20CA" w:rsidRPr="00EF6168">
        <w:rPr>
          <w:i/>
          <w:iCs/>
        </w:rPr>
        <w:t>i</w:t>
      </w:r>
      <w:r w:rsidRPr="00EF6168">
        <w:rPr>
          <w:i/>
          <w:iCs/>
        </w:rPr>
        <w:t>d.</w:t>
      </w:r>
      <w:r w:rsidR="00AB20CA" w:rsidRPr="00EF6168">
        <w:t xml:space="preserve">, and would waste time without much benefit to the jury. </w:t>
      </w:r>
      <w:r w:rsidR="00AB20CA" w:rsidRPr="00EF6168">
        <w:rPr>
          <w:i/>
          <w:iCs/>
        </w:rPr>
        <w:t xml:space="preserve">See </w:t>
      </w:r>
      <w:r w:rsidR="00AB20CA" w:rsidRPr="00EF6168">
        <w:t>Fed. R. Evid. 403.</w:t>
      </w:r>
    </w:p>
    <w:p w14:paraId="65694C37" w14:textId="7E5850D3" w:rsidR="006F68FA" w:rsidRPr="00EF6168" w:rsidRDefault="006F68FA" w:rsidP="00EE52FA">
      <w:pPr>
        <w:ind w:firstLine="720"/>
      </w:pPr>
      <w:r w:rsidRPr="00EF6168">
        <w:t xml:space="preserve">Third, the Court should hold a </w:t>
      </w:r>
      <w:r w:rsidRPr="00EF6168">
        <w:rPr>
          <w:i/>
          <w:iCs/>
        </w:rPr>
        <w:t xml:space="preserve">Daubert </w:t>
      </w:r>
      <w:r w:rsidRPr="00EF6168">
        <w:t>hearing before allowing Det. Attebury to testify about how much fentanyl</w:t>
      </w:r>
      <w:r w:rsidR="00916F7C" w:rsidRPr="00EF6168">
        <w:t>, cocaine, heroin, and methamphetamine</w:t>
      </w:r>
      <w:r w:rsidRPr="00EF6168">
        <w:t xml:space="preserve"> a person can use daily. He does not have the scientific background to answer that question. Nor has he explained the methodology he used to reach this conclusion. Accordingly, his testimony on this point is not admissible</w:t>
      </w:r>
      <w:r w:rsidR="00AB20CA" w:rsidRPr="00EF6168">
        <w:t xml:space="preserve"> and also more prejudicial than probative</w:t>
      </w:r>
      <w:r w:rsidRPr="00EF6168">
        <w:t xml:space="preserve">. </w:t>
      </w:r>
      <w:r w:rsidRPr="00EF6168">
        <w:rPr>
          <w:i/>
          <w:iCs/>
        </w:rPr>
        <w:t xml:space="preserve">See </w:t>
      </w:r>
      <w:r w:rsidRPr="00EF6168">
        <w:t>Fed. R. Evid. 702(a)</w:t>
      </w:r>
      <w:r w:rsidR="009458E2">
        <w:t xml:space="preserve">. Even if it were, it would be inadmissible because it is more prejudicial than probative. </w:t>
      </w:r>
      <w:r w:rsidR="009458E2">
        <w:rPr>
          <w:i/>
          <w:iCs/>
        </w:rPr>
        <w:t xml:space="preserve">See </w:t>
      </w:r>
      <w:r w:rsidR="009458E2">
        <w:t>Fed. R. Evid. 403.</w:t>
      </w:r>
    </w:p>
    <w:p w14:paraId="139DC2CF" w14:textId="631363A2" w:rsidR="006F68FA" w:rsidRPr="00EF6168" w:rsidRDefault="006F68FA" w:rsidP="0081326F">
      <w:pPr>
        <w:ind w:firstLine="720"/>
      </w:pPr>
      <w:r w:rsidRPr="00EF6168">
        <w:t xml:space="preserve">Fourth, Det. Attebury should not be permitted to tell the jury that he believes drugs and guns go together. This </w:t>
      </w:r>
      <w:r w:rsidR="00E6286C" w:rsidRPr="00EF6168">
        <w:t>opinion is not</w:t>
      </w:r>
      <w:r w:rsidRPr="00EF6168">
        <w:t xml:space="preserve"> the product of reliable methods. </w:t>
      </w:r>
      <w:r w:rsidRPr="00EF6168">
        <w:rPr>
          <w:i/>
          <w:iCs/>
        </w:rPr>
        <w:t xml:space="preserve">See </w:t>
      </w:r>
      <w:r w:rsidRPr="00EF6168">
        <w:t>Fed. R. Evid. 702(a).</w:t>
      </w:r>
      <w:r w:rsidR="00E6286C" w:rsidRPr="00EF6168">
        <w:t xml:space="preserve"> </w:t>
      </w:r>
      <w:r w:rsidR="0081326F" w:rsidRPr="00EF6168">
        <w:t xml:space="preserve">The Court should </w:t>
      </w:r>
      <w:r w:rsidR="00B0594D" w:rsidRPr="00EF6168">
        <w:t>h</w:t>
      </w:r>
      <w:r w:rsidR="0081326F" w:rsidRPr="00EF6168">
        <w:t xml:space="preserve">old a </w:t>
      </w:r>
      <w:r w:rsidR="0081326F" w:rsidRPr="00EF6168">
        <w:rPr>
          <w:i/>
          <w:iCs/>
        </w:rPr>
        <w:t>Daubert</w:t>
      </w:r>
      <w:r w:rsidR="0081326F" w:rsidRPr="00EF6168">
        <w:t xml:space="preserve"> hearing or at least permit voir dire about his methods before permitting the jury to listen to this testimony. This</w:t>
      </w:r>
      <w:r w:rsidR="00E6286C" w:rsidRPr="00EF6168">
        <w:t xml:space="preserve"> proposed opinion also </w:t>
      </w:r>
      <w:r w:rsidR="009B69EB" w:rsidRPr="00EF6168">
        <w:t xml:space="preserve">embraces the ultimate issue: whether Mr. </w:t>
      </w:r>
      <w:r w:rsidR="00074C2F">
        <w:t>Doe</w:t>
      </w:r>
      <w:r w:rsidR="0081326F" w:rsidRPr="00EF6168">
        <w:t xml:space="preserve"> had the firearm for the purpose of facilitating drug trafficking instead of some other purpose. </w:t>
      </w:r>
      <w:r w:rsidR="0081326F" w:rsidRPr="00EF6168">
        <w:rPr>
          <w:i/>
          <w:iCs/>
        </w:rPr>
        <w:t xml:space="preserve">See </w:t>
      </w:r>
      <w:r w:rsidR="0081326F" w:rsidRPr="00EF6168">
        <w:t>Fed. R. Evid. 704(b).</w:t>
      </w:r>
      <w:r w:rsidR="00AB20CA" w:rsidRPr="00EF6168">
        <w:t xml:space="preserve"> This type of opinion testimony is prejudicial because</w:t>
      </w:r>
      <w:r w:rsidR="008C4DA8">
        <w:t xml:space="preserve"> it lacks support</w:t>
      </w:r>
      <w:r w:rsidR="009458E2">
        <w:t xml:space="preserve"> and</w:t>
      </w:r>
      <w:r w:rsidR="00AB20CA" w:rsidRPr="00EF6168">
        <w:t xml:space="preserve"> comes with an undeserved aura of credibility </w:t>
      </w:r>
      <w:r w:rsidR="00AB20CA" w:rsidRPr="00EF6168">
        <w:rPr>
          <w:i/>
          <w:iCs/>
        </w:rPr>
        <w:t xml:space="preserve">See </w:t>
      </w:r>
      <w:r w:rsidR="00AB20CA" w:rsidRPr="00EF6168">
        <w:t>Fed. R. Evid. 403.</w:t>
      </w:r>
    </w:p>
    <w:p w14:paraId="26473719" w14:textId="77777777" w:rsidR="00EE52FA" w:rsidRPr="00EF6168" w:rsidRDefault="00EE52FA" w:rsidP="00EE52FA">
      <w:pPr>
        <w:numPr>
          <w:ilvl w:val="0"/>
          <w:numId w:val="12"/>
        </w:numPr>
        <w:rPr>
          <w:b/>
          <w:bCs/>
        </w:rPr>
      </w:pPr>
      <w:r w:rsidRPr="00EF6168">
        <w:rPr>
          <w:b/>
          <w:bCs/>
        </w:rPr>
        <w:t>BACKGROUND</w:t>
      </w:r>
    </w:p>
    <w:p w14:paraId="151980E4" w14:textId="4F4E1B86" w:rsidR="00EE52FA" w:rsidRPr="00EF6168" w:rsidRDefault="00EE52FA" w:rsidP="00EE52FA">
      <w:pPr>
        <w:ind w:firstLine="720"/>
      </w:pPr>
      <w:r w:rsidRPr="00EF6168">
        <w:t xml:space="preserve">On February 22, 2022, Seattle Police Department officers were searching for people to arrest at 12th Avenue South and Jackson Street as part of Operation New Day. This area was and remains an active marketplace for all manner of goods. Detective Dittoe saw Mr. </w:t>
      </w:r>
      <w:r w:rsidR="00074C2F">
        <w:t>Doe</w:t>
      </w:r>
      <w:r w:rsidRPr="00EF6168">
        <w:t xml:space="preserve"> give someone a bag of something he believed were drugs. Officer Kellett approached Mr. </w:t>
      </w:r>
      <w:r w:rsidR="00074C2F">
        <w:t>Doe</w:t>
      </w:r>
      <w:r w:rsidRPr="00EF6168">
        <w:t>, grabbed him, handcuffed him, and removed a black and a brown backpack he was wearing on his back. He brought Mr.</w:t>
      </w:r>
      <w:r w:rsidR="008C4DA8">
        <w:t> </w:t>
      </w:r>
      <w:r w:rsidR="00074C2F">
        <w:t>Doe</w:t>
      </w:r>
      <w:r w:rsidRPr="00EF6168">
        <w:t xml:space="preserve"> and the </w:t>
      </w:r>
      <w:r w:rsidRPr="00EF6168">
        <w:lastRenderedPageBreak/>
        <w:t xml:space="preserve">bags to the patrol car. Officer Legg officer patted down Mr. </w:t>
      </w:r>
      <w:r w:rsidR="00074C2F">
        <w:t>Doe</w:t>
      </w:r>
      <w:r w:rsidRPr="00EF6168">
        <w:t xml:space="preserve"> and searched his pockets</w:t>
      </w:r>
      <w:r w:rsidR="00690DA7" w:rsidRPr="00EF6168">
        <w:t>, finding crack cocaine</w:t>
      </w:r>
      <w:r w:rsidRPr="00EF6168">
        <w:t xml:space="preserve">. </w:t>
      </w:r>
    </w:p>
    <w:p w14:paraId="0E727742" w14:textId="77777777" w:rsidR="00EE52FA" w:rsidRPr="00EF6168" w:rsidRDefault="00EE52FA" w:rsidP="00EE52FA">
      <w:pPr>
        <w:ind w:firstLine="720"/>
      </w:pPr>
      <w:r w:rsidRPr="00EF6168">
        <w:t>Officer Kellett</w:t>
      </w:r>
      <w:r w:rsidR="00690DA7" w:rsidRPr="00EF6168">
        <w:t xml:space="preserve"> searched the black backpack and</w:t>
      </w:r>
      <w:r w:rsidRPr="00EF6168">
        <w:t xml:space="preserve"> removed a small black bag with cocaine, heroin, and methamphetamine. When Officer Kellett searched the brown </w:t>
      </w:r>
      <w:r w:rsidR="00690DA7" w:rsidRPr="00EF6168">
        <w:t xml:space="preserve">leather </w:t>
      </w:r>
      <w:r w:rsidRPr="00EF6168">
        <w:t xml:space="preserve">backpack, he found another brown bag inside and a small plastic bag containing </w:t>
      </w:r>
      <w:r w:rsidR="00690DA7" w:rsidRPr="00EF6168">
        <w:t xml:space="preserve">87 </w:t>
      </w:r>
      <w:r w:rsidRPr="00EF6168">
        <w:t>blue</w:t>
      </w:r>
      <w:r w:rsidR="00690DA7" w:rsidRPr="00EF6168">
        <w:t xml:space="preserve"> M-30</w:t>
      </w:r>
      <w:r w:rsidRPr="00EF6168">
        <w:t xml:space="preserve"> pills. Ex. 1 at 2:08–5:01.</w:t>
      </w:r>
      <w:r w:rsidR="00690DA7" w:rsidRPr="00EF6168">
        <w:t xml:space="preserve"> At the police station, the police found another loose pill, bringing the total to 88 pills. Ex. 2 (BS14). The drugs were tested and weighed in a DEA laboratory</w:t>
      </w:r>
      <w:r w:rsidR="00A559B2" w:rsidRPr="00EF6168">
        <w:t xml:space="preserve">, yielding the following results: </w:t>
      </w:r>
      <w:r w:rsidR="00B51547" w:rsidRPr="00EF6168">
        <w:t>0.713 grams of methamphetamine, 9.021 grams of fentanyl, 3.507 grams of cocaine, 20.0 grams of cocaine base, and 3.91 grams of heroin. Ex. 3, Lab Reports (BS432-36)</w:t>
      </w:r>
    </w:p>
    <w:p w14:paraId="5855DCF1" w14:textId="6FDAE463" w:rsidR="00EE52FA" w:rsidRPr="00EF6168" w:rsidRDefault="00EE52FA" w:rsidP="00EE52FA">
      <w:r w:rsidRPr="00EF6168">
        <w:rPr>
          <w:b/>
          <w:bCs/>
        </w:rPr>
        <w:tab/>
      </w:r>
      <w:r w:rsidRPr="00EF6168">
        <w:t xml:space="preserve">The government has charged Mr. </w:t>
      </w:r>
      <w:r w:rsidR="00074C2F">
        <w:t>Doe</w:t>
      </w:r>
      <w:r w:rsidRPr="00EF6168">
        <w:t xml:space="preserve"> with possession of controlled substances. Dkt. 1 at 1. In addition, he has been charged with possession of a firearm in furtherance of a drug trafficking crime, as well as unlawful possession of a firearm. </w:t>
      </w:r>
      <w:r w:rsidRPr="00EF6168">
        <w:rPr>
          <w:i/>
          <w:iCs/>
        </w:rPr>
        <w:t>Id.</w:t>
      </w:r>
      <w:r w:rsidRPr="00EF6168">
        <w:t xml:space="preserve"> at 2.</w:t>
      </w:r>
    </w:p>
    <w:p w14:paraId="7109EBB4" w14:textId="77777777" w:rsidR="00EE52FA" w:rsidRPr="00EF6168" w:rsidRDefault="00EE52FA" w:rsidP="00EE52FA">
      <w:pPr>
        <w:ind w:firstLine="720"/>
      </w:pPr>
      <w:r w:rsidRPr="00EF6168">
        <w:t xml:space="preserve">On March 27, 2024, the government provided notice under Federal Rule of Evidence 16(a)(1)(G)(iii) of its intent to offer profile testimony </w:t>
      </w:r>
      <w:r w:rsidR="00B51547" w:rsidRPr="00EF6168">
        <w:t>though Det. Attebury’s testimony.</w:t>
      </w:r>
    </w:p>
    <w:p w14:paraId="24A456A6" w14:textId="77777777" w:rsidR="00EE52FA" w:rsidRPr="00EF6168" w:rsidRDefault="00EE52FA" w:rsidP="00EE52FA">
      <w:pPr>
        <w:numPr>
          <w:ilvl w:val="0"/>
          <w:numId w:val="12"/>
        </w:numPr>
        <w:rPr>
          <w:b/>
          <w:bCs/>
        </w:rPr>
      </w:pPr>
      <w:r w:rsidRPr="00EF6168">
        <w:rPr>
          <w:b/>
          <w:bCs/>
        </w:rPr>
        <w:t>LEGAL STANDARD</w:t>
      </w:r>
    </w:p>
    <w:p w14:paraId="4F9CD454" w14:textId="77777777" w:rsidR="00E6286C" w:rsidRPr="00EF6168" w:rsidRDefault="00E6286C" w:rsidP="00337D33">
      <w:pPr>
        <w:ind w:firstLine="720"/>
      </w:pPr>
      <w:r w:rsidRPr="00EF6168">
        <w:t xml:space="preserve">Relevant evidence is generally admissible, and irrelevant evidence is not. </w:t>
      </w:r>
      <w:r w:rsidRPr="00EF6168">
        <w:rPr>
          <w:i/>
          <w:iCs/>
        </w:rPr>
        <w:t xml:space="preserve">See </w:t>
      </w:r>
      <w:r w:rsidRPr="00EF6168">
        <w:t>Fed. R. Evid. 402. “Evidence is relevant if: (a) it has any tendency to make a fact more or less probable than it would be without the evidence; and (b) the fact is of consequence in determining the action.” Fed. R. Evid. 401.</w:t>
      </w:r>
    </w:p>
    <w:p w14:paraId="4E8A72EE" w14:textId="77777777" w:rsidR="00337D33" w:rsidRPr="00EF6168" w:rsidRDefault="00EE52FA" w:rsidP="00337D33">
      <w:pPr>
        <w:ind w:firstLine="720"/>
      </w:pPr>
      <w:r w:rsidRPr="00EF6168">
        <w:t>Rule 702 of the Federal Rules of Evidence permits expert witnesses qualified by pertinent knowledge, skill, experience, training, or education to offer opinions. Before doing so, however, the proponent of the testimony must demonstrate that “it is more likely than not that”:</w:t>
      </w:r>
    </w:p>
    <w:p w14:paraId="3067FB30" w14:textId="77777777" w:rsidR="00337D33" w:rsidRPr="00EF6168" w:rsidRDefault="00337D33" w:rsidP="00337D33">
      <w:pPr>
        <w:ind w:firstLine="720"/>
      </w:pPr>
    </w:p>
    <w:p w14:paraId="201C3B67" w14:textId="77777777" w:rsidR="00EE52FA" w:rsidRPr="00EF6168" w:rsidRDefault="00EE52FA" w:rsidP="00337D33">
      <w:pPr>
        <w:numPr>
          <w:ilvl w:val="0"/>
          <w:numId w:val="13"/>
        </w:numPr>
        <w:spacing w:line="240" w:lineRule="auto"/>
      </w:pPr>
      <w:r w:rsidRPr="00EF6168">
        <w:lastRenderedPageBreak/>
        <w:t>the expert’s scientific, technical, or other specialized knowledge will help the trier of fact to understand the evidence or to determine a fact in issue;</w:t>
      </w:r>
    </w:p>
    <w:p w14:paraId="761FA586" w14:textId="77777777" w:rsidR="00EE52FA" w:rsidRPr="00EF6168" w:rsidRDefault="00EE52FA" w:rsidP="00337D33">
      <w:pPr>
        <w:numPr>
          <w:ilvl w:val="0"/>
          <w:numId w:val="13"/>
        </w:numPr>
        <w:spacing w:line="240" w:lineRule="auto"/>
      </w:pPr>
      <w:r w:rsidRPr="00EF6168">
        <w:t>the testimony is based on sufficient facts or data;</w:t>
      </w:r>
    </w:p>
    <w:p w14:paraId="371DEDFB" w14:textId="77777777" w:rsidR="00EE52FA" w:rsidRPr="00EF6168" w:rsidRDefault="00EE52FA" w:rsidP="00337D33">
      <w:pPr>
        <w:numPr>
          <w:ilvl w:val="0"/>
          <w:numId w:val="13"/>
        </w:numPr>
        <w:spacing w:line="240" w:lineRule="auto"/>
      </w:pPr>
      <w:r w:rsidRPr="00EF6168">
        <w:t>the testimony is the product of reliable principles and methods; and</w:t>
      </w:r>
    </w:p>
    <w:p w14:paraId="123F8A08" w14:textId="77777777" w:rsidR="00337D33" w:rsidRPr="00EF6168" w:rsidRDefault="00EE52FA" w:rsidP="00337D33">
      <w:pPr>
        <w:numPr>
          <w:ilvl w:val="0"/>
          <w:numId w:val="13"/>
        </w:numPr>
        <w:spacing w:line="240" w:lineRule="auto"/>
      </w:pPr>
      <w:r w:rsidRPr="00EF6168">
        <w:t>the expert’s opinion reflects a reliable application of the principles and methods to the facts of the case.</w:t>
      </w:r>
    </w:p>
    <w:p w14:paraId="2A9F1233" w14:textId="77777777" w:rsidR="00337D33" w:rsidRPr="00EF6168" w:rsidRDefault="00337D33" w:rsidP="00337D33">
      <w:pPr>
        <w:spacing w:line="240" w:lineRule="auto"/>
        <w:ind w:left="1080"/>
      </w:pPr>
    </w:p>
    <w:p w14:paraId="3389F855" w14:textId="77777777" w:rsidR="00EE52FA" w:rsidRPr="00EF6168" w:rsidRDefault="00EE52FA" w:rsidP="00337D33">
      <w:pPr>
        <w:spacing w:line="360" w:lineRule="auto"/>
      </w:pPr>
      <w:r w:rsidRPr="00EF6168">
        <w:t>Fed. R. Evid. 702 (effective Dec. 1, 2023).</w:t>
      </w:r>
    </w:p>
    <w:p w14:paraId="4F08AB7F" w14:textId="77777777" w:rsidR="00EE52FA" w:rsidRPr="00EF6168" w:rsidRDefault="00EE52FA" w:rsidP="00EE52FA">
      <w:pPr>
        <w:spacing w:line="360" w:lineRule="auto"/>
      </w:pPr>
      <w:r w:rsidRPr="00EF6168">
        <w:tab/>
        <w:t xml:space="preserve">Courts perform a “gatekeeping role” to ensure that testimony is both relevant and reliable. </w:t>
      </w:r>
      <w:r w:rsidRPr="00EF6168">
        <w:rPr>
          <w:i/>
          <w:iCs/>
          <w:bdr w:val="none" w:sz="0" w:space="0" w:color="auto" w:frame="1"/>
        </w:rPr>
        <w:t>United States v. Ruvalcaba-Garcia</w:t>
      </w:r>
      <w:r w:rsidRPr="00EF6168">
        <w:t xml:space="preserve">, 923 F.3d 1183, 1188 (9th Cir. 2019). </w:t>
      </w:r>
    </w:p>
    <w:p w14:paraId="1AA80014" w14:textId="2636500A" w:rsidR="006F68FA" w:rsidRPr="00EF6168" w:rsidRDefault="00EE52FA" w:rsidP="00EE52FA">
      <w:r w:rsidRPr="00EF6168">
        <w:t xml:space="preserve">Courts must ensure the testimony (1) has “a reliable basis in the knowledge and experience of the relevant discipline,” and (2) “logically advance[s] a material aspect of the party’s case.” </w:t>
      </w:r>
      <w:r w:rsidRPr="00EF6168">
        <w:rPr>
          <w:i/>
          <w:iCs/>
        </w:rPr>
        <w:t xml:space="preserve">Id. </w:t>
      </w:r>
      <w:r w:rsidRPr="00EF6168">
        <w:t xml:space="preserve">at 1188–89. The reliability prong focuses “solely on the principles and methodology, not on the conclusions” generated. </w:t>
      </w:r>
      <w:r w:rsidRPr="00EF6168">
        <w:rPr>
          <w:i/>
          <w:iCs/>
        </w:rPr>
        <w:t>Wendell v. GlaxoSmithKline, LLC</w:t>
      </w:r>
      <w:r w:rsidRPr="00EF6168">
        <w:t xml:space="preserve">, 858 F.3d 1227, 1232 (9th Cir. 2017). </w:t>
      </w:r>
      <w:r w:rsidR="006F68FA" w:rsidRPr="00EF6168">
        <w:t>A</w:t>
      </w:r>
      <w:r w:rsidRPr="00EF6168">
        <w:t xml:space="preserve"> district court’s “task is to analyze not what the experts say, but what </w:t>
      </w:r>
      <w:r w:rsidRPr="00EF6168">
        <w:rPr>
          <w:i/>
          <w:iCs/>
        </w:rPr>
        <w:t xml:space="preserve">basis </w:t>
      </w:r>
      <w:r w:rsidRPr="00EF6168">
        <w:t xml:space="preserve">they have for saying it.” </w:t>
      </w:r>
      <w:r w:rsidRPr="00EF6168">
        <w:rPr>
          <w:i/>
          <w:iCs/>
        </w:rPr>
        <w:t xml:space="preserve">Id. </w:t>
      </w:r>
      <w:r w:rsidRPr="00EF6168">
        <w:t>(emphasis added) (internal punctuation omitted).</w:t>
      </w:r>
      <w:r w:rsidR="006F68FA" w:rsidRPr="00EF6168">
        <w:t xml:space="preserve"> “[R]eliability becomes more, not less, important when the ‘experience-based’ expert opinion is perhaps not subject to routine testing, error rate, or peer review type analysis, like science-based expert testimony.” </w:t>
      </w:r>
      <w:r w:rsidR="006F68FA" w:rsidRPr="00EF6168">
        <w:rPr>
          <w:i/>
          <w:iCs/>
          <w:bdr w:val="none" w:sz="0" w:space="0" w:color="auto" w:frame="1"/>
        </w:rPr>
        <w:t>United States v. Valencia-Lopez</w:t>
      </w:r>
      <w:r w:rsidR="006F68FA" w:rsidRPr="00EF6168">
        <w:t xml:space="preserve">, 971 F.3d 891, 898 (9th Cir. 2020). “[T]he flexibility afforded to the gatekeeper goes to </w:t>
      </w:r>
      <w:r w:rsidR="006F68FA" w:rsidRPr="00EF6168">
        <w:rPr>
          <w:i/>
          <w:iCs/>
          <w:bdr w:val="none" w:sz="0" w:space="0" w:color="auto" w:frame="1"/>
        </w:rPr>
        <w:t>how</w:t>
      </w:r>
      <w:r w:rsidR="006F68FA" w:rsidRPr="00EF6168">
        <w:t xml:space="preserve"> to determine reliability, not </w:t>
      </w:r>
      <w:r w:rsidR="006F68FA" w:rsidRPr="00EF6168">
        <w:rPr>
          <w:i/>
          <w:iCs/>
          <w:bdr w:val="none" w:sz="0" w:space="0" w:color="auto" w:frame="1"/>
        </w:rPr>
        <w:t>whether</w:t>
      </w:r>
      <w:r w:rsidR="006F68FA" w:rsidRPr="00EF6168">
        <w:t xml:space="preserve"> to determine reliability .</w:t>
      </w:r>
      <w:r w:rsidR="008C4DA8">
        <w:t> </w:t>
      </w:r>
      <w:r w:rsidR="006F68FA" w:rsidRPr="00EF6168">
        <w:t>.</w:t>
      </w:r>
      <w:r w:rsidR="008C4DA8">
        <w:t> </w:t>
      </w:r>
      <w:r w:rsidR="006F68FA" w:rsidRPr="00EF6168">
        <w:t>.</w:t>
      </w:r>
      <w:r w:rsidR="008C4DA8">
        <w:t> </w:t>
      </w:r>
      <w:r w:rsidR="006F68FA" w:rsidRPr="00EF6168">
        <w:t xml:space="preserve">.” </w:t>
      </w:r>
      <w:r w:rsidR="006F68FA" w:rsidRPr="00EF6168">
        <w:rPr>
          <w:i/>
          <w:iCs/>
        </w:rPr>
        <w:t>Id.</w:t>
      </w:r>
    </w:p>
    <w:p w14:paraId="3A17CA0B" w14:textId="77777777" w:rsidR="00EE52FA" w:rsidRPr="00EF6168" w:rsidRDefault="00EE52FA" w:rsidP="00337D33">
      <w:pPr>
        <w:ind w:firstLine="720"/>
      </w:pPr>
      <w:r w:rsidRPr="00EF6168">
        <w:t xml:space="preserve">Even relevant and reliable expert testimony should be excluded “if its probative value is substantially outweighed by a danger of one or more of the following: unfair prejudice, confusing the issues, misleading the jury, undue delay, wasting time, or needlessly presenting cumulative evidence.” Fed. R. Evid. 403. Testimony by experts “can be both powerful and quite misleading because of the difficulty in evaluating it. Because of this risk, the judge in weighing possible prejudice against probative force under Rule 403 of the present rules exercises more control over experts than over lay </w:t>
      </w:r>
      <w:r w:rsidRPr="00EF6168">
        <w:lastRenderedPageBreak/>
        <w:t xml:space="preserve">witnesses.” </w:t>
      </w:r>
      <w:r w:rsidRPr="00EF6168">
        <w:rPr>
          <w:i/>
          <w:iCs/>
        </w:rPr>
        <w:t>Daubert v. Merrell Dow Pharm., Inc.</w:t>
      </w:r>
      <w:r w:rsidRPr="00EF6168">
        <w:t>, 509 U.S. 579, 595 (1993) (cleaned up).</w:t>
      </w:r>
    </w:p>
    <w:p w14:paraId="3DAEEC7A" w14:textId="77777777" w:rsidR="0081326F" w:rsidRPr="00EF6168" w:rsidRDefault="0081326F" w:rsidP="00AB20CA">
      <w:pPr>
        <w:ind w:firstLine="720"/>
      </w:pPr>
      <w:r w:rsidRPr="00EF6168">
        <w:t>In criminal cases, an expert witness may not “state an opinion about whether the defendant did or did not have a mental state or condition that constitutes an element of the crime charged or of a defense. Those matters are for the trier of fact alone.” Fed. R. Evid. 704(b).</w:t>
      </w:r>
    </w:p>
    <w:p w14:paraId="7AB2CE0C" w14:textId="77777777" w:rsidR="00EE52FA" w:rsidRPr="00EF6168" w:rsidRDefault="00EE52FA" w:rsidP="00EE52FA">
      <w:pPr>
        <w:numPr>
          <w:ilvl w:val="0"/>
          <w:numId w:val="12"/>
        </w:numPr>
        <w:rPr>
          <w:b/>
          <w:bCs/>
        </w:rPr>
      </w:pPr>
      <w:r w:rsidRPr="00EF6168">
        <w:rPr>
          <w:b/>
          <w:bCs/>
        </w:rPr>
        <w:t>DISCUSSION</w:t>
      </w:r>
    </w:p>
    <w:p w14:paraId="3897985F" w14:textId="77777777" w:rsidR="006F68FA" w:rsidRPr="00EF6168" w:rsidRDefault="006F68FA" w:rsidP="006F68FA">
      <w:pPr>
        <w:numPr>
          <w:ilvl w:val="0"/>
          <w:numId w:val="14"/>
        </w:numPr>
        <w:rPr>
          <w:b/>
          <w:bCs/>
        </w:rPr>
      </w:pPr>
      <w:r w:rsidRPr="00EF6168">
        <w:rPr>
          <w:b/>
          <w:bCs/>
        </w:rPr>
        <w:t>Det. Attebury’s Proposed Testimony Is Inadmissible Profiling.</w:t>
      </w:r>
    </w:p>
    <w:p w14:paraId="2ABD51A6" w14:textId="77777777" w:rsidR="006F68FA" w:rsidRPr="00EF6168" w:rsidRDefault="006F68FA" w:rsidP="006F68FA">
      <w:pPr>
        <w:numPr>
          <w:ilvl w:val="0"/>
          <w:numId w:val="15"/>
        </w:numPr>
        <w:rPr>
          <w:b/>
          <w:bCs/>
        </w:rPr>
      </w:pPr>
      <w:r w:rsidRPr="00EF6168">
        <w:rPr>
          <w:b/>
          <w:bCs/>
        </w:rPr>
        <w:t>Profiling and modus operandi evidence are different.</w:t>
      </w:r>
    </w:p>
    <w:p w14:paraId="3BF21EAD" w14:textId="77777777" w:rsidR="00925AA7" w:rsidRPr="00EF6168" w:rsidRDefault="00925AA7" w:rsidP="00925AA7">
      <w:pPr>
        <w:ind w:firstLine="720"/>
      </w:pPr>
      <w:r w:rsidRPr="00EF6168">
        <w:t xml:space="preserve">Modus operandi, traditionally understood, is a way of identifying the perpetrator of an offense by showing “[a] method of operating or a manner of procedure” that is “so distinctive that investigators attribute it to the work of the same person.” </w:t>
      </w:r>
      <w:r w:rsidRPr="00EF6168">
        <w:rPr>
          <w:i/>
          <w:iCs/>
        </w:rPr>
        <w:t>Modus Operandi</w:t>
      </w:r>
      <w:r w:rsidRPr="00EF6168">
        <w:t xml:space="preserve">, </w:t>
      </w:r>
      <w:r w:rsidRPr="00EF6168">
        <w:rPr>
          <w:i/>
          <w:iCs/>
        </w:rPr>
        <w:t>Black’s Law Dictionary</w:t>
      </w:r>
      <w:r w:rsidRPr="00EF6168">
        <w:t>, 11th ed. 2019). By showing that the defendant committed uncharged crimes that are “nearly identical in method” to the charged crime, prosecutors may link the defendant to the charged crime by showing that the method is the defendant’s “distinctive . . . signature.” 1 McCormick on Evid. § 190.3 (Robert P. Mosteller ed., 8th ed. 2022).</w:t>
      </w:r>
    </w:p>
    <w:p w14:paraId="528FB6BA" w14:textId="0CA94450" w:rsidR="00925AA7" w:rsidRDefault="00925AA7" w:rsidP="00925AA7">
      <w:pPr>
        <w:ind w:firstLine="720"/>
      </w:pPr>
      <w:r w:rsidRPr="00EF6168">
        <w:t xml:space="preserve">Courts have expanded this traditional concept to allow for “common modus operandi” evidence. </w:t>
      </w:r>
      <w:r w:rsidR="00071FE0" w:rsidRPr="00EF6168">
        <w:rPr>
          <w:i/>
          <w:iCs/>
        </w:rPr>
        <w:t xml:space="preserve">United States </w:t>
      </w:r>
      <w:r w:rsidRPr="00EF6168">
        <w:rPr>
          <w:i/>
          <w:iCs/>
        </w:rPr>
        <w:t>v. Webb</w:t>
      </w:r>
      <w:r w:rsidRPr="00EF6168">
        <w:t xml:space="preserve">, 115 F.3d 711, 720 (9th Cir. 1997) (Jenkins, J., concurring). Typically, a witness testifies about “the methods and techniques employed in an area of criminal activity” to show that the defendant “acted in accordance with usual criminal modus operandi.” </w:t>
      </w:r>
      <w:r w:rsidRPr="00EF6168">
        <w:rPr>
          <w:i/>
          <w:iCs/>
        </w:rPr>
        <w:t>United States v. Espinosa</w:t>
      </w:r>
      <w:r w:rsidRPr="00EF6168">
        <w:t xml:space="preserve">, 827 F.2d 604, 612 (9th Cir. 1987). This type of evidence serves a limited purpose: to “help[] the jury understand complex criminal activities, and alert[] it to the possibility that combinations of seemingly innocuous events may indicate criminal behavior.” </w:t>
      </w:r>
      <w:r w:rsidRPr="00EF6168">
        <w:rPr>
          <w:i/>
          <w:iCs/>
        </w:rPr>
        <w:t>United States v. Johnson</w:t>
      </w:r>
      <w:r w:rsidRPr="00EF6168">
        <w:t xml:space="preserve">, 735 F.2d 1200, 1202 (9th Cir. 1984). While this evidence may be </w:t>
      </w:r>
      <w:r w:rsidRPr="00EF6168">
        <w:lastRenderedPageBreak/>
        <w:t xml:space="preserve">permissible, courts do not routinely admit it. </w:t>
      </w:r>
      <w:r w:rsidRPr="00EF6168">
        <w:rPr>
          <w:i/>
          <w:iCs/>
        </w:rPr>
        <w:t>Espinosa</w:t>
      </w:r>
      <w:r w:rsidRPr="00EF6168">
        <w:t xml:space="preserve">, 827 F.2d at 612. Before doing so, courts must “carefully weigh the testimony’s probative value against its possible prejudicial effect.” </w:t>
      </w:r>
      <w:r w:rsidRPr="00EF6168">
        <w:rPr>
          <w:i/>
          <w:iCs/>
        </w:rPr>
        <w:t xml:space="preserve">Id. </w:t>
      </w:r>
    </w:p>
    <w:p w14:paraId="6E61DC47" w14:textId="77777777" w:rsidR="009E4B3F" w:rsidRPr="009E4B3F" w:rsidRDefault="009E4B3F" w:rsidP="009E4B3F">
      <w:pPr>
        <w:ind w:firstLine="720"/>
      </w:pPr>
      <w:r w:rsidRPr="00EF6168">
        <w:t xml:space="preserve">Behavior, activities, conduct, and action—the Ninth Circuit’s choice of language shows that modus operandi evidence starts with the defendant’s observed actions. An expert may then explain how those actions are consistent with specific criminal methods or techniques. </w:t>
      </w:r>
      <w:r w:rsidRPr="00EF6168">
        <w:rPr>
          <w:i/>
          <w:iCs/>
        </w:rPr>
        <w:t>See United States v. Alonso</w:t>
      </w:r>
      <w:r w:rsidRPr="00EF6168">
        <w:t>, 48 F.3d 1536, 1540–41 (9th Cir. 1995) (allowing agents to testify that the defendant’s behavior—looking inside parked cars while co-conspirators ran fake credit cards inside a store—was consistent with countersurveillance). In contrast, profile evidence is a “compilation of characteristics,” which the agent uses to link the defendant to those characteristics</w:t>
      </w:r>
      <w:r w:rsidRPr="00EF6168">
        <w:rPr>
          <w:i/>
          <w:iCs/>
        </w:rPr>
        <w:t xml:space="preserve">. </w:t>
      </w:r>
      <w:r w:rsidRPr="007D2FB3">
        <w:rPr>
          <w:i/>
          <w:iCs/>
          <w:bdr w:val="none" w:sz="0" w:space="0" w:color="auto" w:frame="1"/>
        </w:rPr>
        <w:t>United States v. Vallejo</w:t>
      </w:r>
      <w:r w:rsidRPr="007D2FB3">
        <w:t>, 237 F.3d 1008, 1017 (9th Cir.</w:t>
      </w:r>
      <w:r w:rsidRPr="00EF6168">
        <w:t xml:space="preserve"> 2001</w:t>
      </w:r>
      <w:r w:rsidRPr="007D2FB3">
        <w:t>)</w:t>
      </w:r>
      <w:r w:rsidRPr="00EF6168">
        <w:t>. Modus operandi evidence starts with the specific (defendant’s actions) and explains how those actions are consistent with specific criminal methods or techniques (like counter-surveillance), whereas profile evidence starts with general information about standard practices and common characteristics of a certain type of criminal, then links the defendant to those characteristics.</w:t>
      </w:r>
    </w:p>
    <w:p w14:paraId="3B4C8069" w14:textId="77777777" w:rsidR="004121E0" w:rsidRPr="00EF6168" w:rsidRDefault="00925AA7" w:rsidP="004121E0">
      <w:pPr>
        <w:ind w:firstLine="720"/>
      </w:pPr>
      <w:r w:rsidRPr="00EF6168">
        <w:t xml:space="preserve">Courts are cautious with modus operandi evidence because it is so similar to profiling. </w:t>
      </w:r>
      <w:r w:rsidRPr="00EF6168">
        <w:rPr>
          <w:i/>
          <w:iCs/>
        </w:rPr>
        <w:t>See Wells</w:t>
      </w:r>
      <w:r w:rsidRPr="00EF6168">
        <w:t xml:space="preserve">, 879 F.3d at 921 (noting that profile evidence is “only permitted in narrow and limited circumstances”). A profile is “a somewhat informal compilation of characteristics believed to be typical of persons” engaged in a particular type of criminal activity. </w:t>
      </w:r>
      <w:r w:rsidRPr="00EF6168">
        <w:rPr>
          <w:i/>
          <w:iCs/>
        </w:rPr>
        <w:t>Reid v. Georgia</w:t>
      </w:r>
      <w:r w:rsidRPr="00EF6168">
        <w:t xml:space="preserve">, 448 U.S. 438, 440 (1980) (per curiam). Profiles generally are inadmissible as substantive evidence of guilt because they have low probative value and are “inherently prejudicial.” </w:t>
      </w:r>
      <w:r w:rsidRPr="00EF6168">
        <w:rPr>
          <w:i/>
          <w:iCs/>
        </w:rPr>
        <w:t>United States v. Lim</w:t>
      </w:r>
      <w:r w:rsidRPr="00EF6168">
        <w:t xml:space="preserve">, 984 F.2d 331, 334–35 (9th Cir. 1993) (citing </w:t>
      </w:r>
      <w:r w:rsidRPr="00EF6168">
        <w:rPr>
          <w:i/>
          <w:iCs/>
        </w:rPr>
        <w:t>United States v. Lui</w:t>
      </w:r>
      <w:r w:rsidRPr="00EF6168">
        <w:t>, 941 F.2d 844, 847 (9th Cir. 1991)).</w:t>
      </w:r>
      <w:r w:rsidR="004121E0" w:rsidRPr="00EF6168">
        <w:t xml:space="preserve"> Profile testimony is “admissible only in two circumstances: (1) to establish modus </w:t>
      </w:r>
      <w:r w:rsidR="004121E0" w:rsidRPr="00EF6168">
        <w:lastRenderedPageBreak/>
        <w:t xml:space="preserve">operandi, but only in exceptional, complex cases, or (2) to rebut specific attempts by the defense to suggest innocence based on the particular characteristics described in the profile.” </w:t>
      </w:r>
      <w:r w:rsidR="004121E0" w:rsidRPr="004121E0">
        <w:rPr>
          <w:i/>
          <w:iCs/>
          <w:bdr w:val="none" w:sz="0" w:space="0" w:color="auto" w:frame="1"/>
        </w:rPr>
        <w:t>United States v. Espinoza-Valdez</w:t>
      </w:r>
      <w:r w:rsidR="004121E0" w:rsidRPr="004121E0">
        <w:t>, 889 F.3d 654, 659</w:t>
      </w:r>
      <w:r w:rsidR="004121E0" w:rsidRPr="00EF6168">
        <w:t xml:space="preserve"> n.5</w:t>
      </w:r>
      <w:r w:rsidR="004121E0" w:rsidRPr="004121E0">
        <w:t xml:space="preserve"> (9th Cir. 2018</w:t>
      </w:r>
      <w:r w:rsidR="004121E0" w:rsidRPr="00EF6168">
        <w:t>) (cleaned up).</w:t>
      </w:r>
    </w:p>
    <w:p w14:paraId="00E7164A" w14:textId="77777777" w:rsidR="00925AA7" w:rsidRPr="00EF6168" w:rsidRDefault="00925AA7" w:rsidP="00925AA7">
      <w:pPr>
        <w:ind w:firstLine="720"/>
      </w:pPr>
      <w:r w:rsidRPr="00EF6168">
        <w:t xml:space="preserve">Profile evidence is inherently prejudicial because </w:t>
      </w:r>
      <w:r w:rsidR="00E706F0" w:rsidRPr="00EF6168">
        <w:t>the focus is</w:t>
      </w:r>
      <w:r w:rsidRPr="00EF6168">
        <w:t xml:space="preserve"> the defendant’s characteristics, not his actions. </w:t>
      </w:r>
      <w:r w:rsidRPr="00EF6168">
        <w:rPr>
          <w:i/>
          <w:iCs/>
        </w:rPr>
        <w:t>See Wells</w:t>
      </w:r>
      <w:r w:rsidRPr="00EF6168">
        <w:t xml:space="preserve">, 879 F.3d at 920–21; </w:t>
      </w:r>
      <w:r w:rsidRPr="00EF6168">
        <w:rPr>
          <w:i/>
          <w:iCs/>
        </w:rPr>
        <w:t>accord Buck v. Davis</w:t>
      </w:r>
      <w:r w:rsidRPr="00EF6168">
        <w:t xml:space="preserve">, 580 U.S. 100, 123 (2017) (“Our law punishes people for what they do, not who they are.”). </w:t>
      </w:r>
      <w:r w:rsidR="00E706F0" w:rsidRPr="00EF6168">
        <w:t xml:space="preserve">For example, </w:t>
      </w:r>
      <w:r w:rsidRPr="00EF6168">
        <w:rPr>
          <w:i/>
          <w:iCs/>
        </w:rPr>
        <w:t xml:space="preserve">Wells </w:t>
      </w:r>
      <w:r w:rsidRPr="00EF6168">
        <w:t xml:space="preserve">involved a double homicide in the workplace. </w:t>
      </w:r>
      <w:r w:rsidRPr="00EF6168">
        <w:rPr>
          <w:i/>
          <w:iCs/>
        </w:rPr>
        <w:t xml:space="preserve">Id. </w:t>
      </w:r>
      <w:r w:rsidRPr="00EF6168">
        <w:t xml:space="preserve">at 908. The government called a forensic psychologist as an expert in “targeted, intended workplace multiple-homicide violence.” </w:t>
      </w:r>
      <w:r w:rsidRPr="00EF6168">
        <w:rPr>
          <w:i/>
          <w:iCs/>
        </w:rPr>
        <w:t xml:space="preserve">Id. </w:t>
      </w:r>
      <w:r w:rsidRPr="00EF6168">
        <w:t xml:space="preserve">at 914. The expert testified about the general characteristics of people who committed workplace homicides, but the government did not ask him if the defendant had those characteristics. </w:t>
      </w:r>
      <w:r w:rsidRPr="00EF6168">
        <w:rPr>
          <w:i/>
          <w:iCs/>
        </w:rPr>
        <w:t xml:space="preserve">Id. </w:t>
      </w:r>
      <w:r w:rsidRPr="00EF6168">
        <w:t xml:space="preserve">at 918–19. Instead, the government called lay witnesses to testify about the defendant’s personal characteristics—which matched the characteristics identified by the expert. </w:t>
      </w:r>
      <w:r w:rsidRPr="00EF6168">
        <w:rPr>
          <w:i/>
          <w:iCs/>
        </w:rPr>
        <w:t xml:space="preserve">Id. </w:t>
      </w:r>
      <w:r w:rsidRPr="00EF6168">
        <w:t>at 919.</w:t>
      </w:r>
      <w:r w:rsidR="00E706F0" w:rsidRPr="00EF6168">
        <w:t xml:space="preserve"> The government used syllogistic reasoning to argue: People who commit workplace homicides have certain characteristics. The defendant has these characteristics. The defendant must have committed the charged workplace homicide.</w:t>
      </w:r>
    </w:p>
    <w:p w14:paraId="3C4EB5B4" w14:textId="3F90881C" w:rsidR="004121E0" w:rsidRPr="00EF6168" w:rsidRDefault="00E706F0" w:rsidP="004121E0">
      <w:pPr>
        <w:ind w:firstLine="720"/>
      </w:pPr>
      <w:r w:rsidRPr="00EF6168">
        <w:t xml:space="preserve">These syllogisms have been </w:t>
      </w:r>
      <w:r w:rsidR="00CB5B6B">
        <w:t>suggested</w:t>
      </w:r>
      <w:r w:rsidR="00CB5B6B" w:rsidRPr="00EF6168">
        <w:t xml:space="preserve"> </w:t>
      </w:r>
      <w:r w:rsidRPr="00EF6168">
        <w:t xml:space="preserve">and rejected in drug trafficking cases. </w:t>
      </w:r>
      <w:r w:rsidRPr="00EF6168">
        <w:rPr>
          <w:i/>
          <w:iCs/>
        </w:rPr>
        <w:t>See, e.g.</w:t>
      </w:r>
      <w:r w:rsidRPr="00EF6168">
        <w:t xml:space="preserve">, </w:t>
      </w:r>
      <w:r w:rsidRPr="00EF6168">
        <w:rPr>
          <w:i/>
          <w:iCs/>
        </w:rPr>
        <w:t>Lui</w:t>
      </w:r>
      <w:r w:rsidRPr="00EF6168">
        <w:t xml:space="preserve">, 941 F.2d at 847–48 (abuse of discretion to admit expert’s testimony tying defendant’s characteristics to those of an archetypal drug courier); </w:t>
      </w:r>
      <w:r w:rsidRPr="00EF6168">
        <w:rPr>
          <w:i/>
          <w:iCs/>
        </w:rPr>
        <w:t>United States v. Quigley</w:t>
      </w:r>
      <w:r w:rsidRPr="00EF6168">
        <w:t>, 890 F.2d 1019, 1023–24 (8th Cir. 1989) (using the characteristics of an archetypal drug courier to show the defendant fit the profile and, therefore, must have intended to distribute the drugs in his possession).</w:t>
      </w:r>
    </w:p>
    <w:p w14:paraId="329D834C" w14:textId="77777777" w:rsidR="004121E0" w:rsidRPr="00EF6168" w:rsidRDefault="00E706F0" w:rsidP="004121E0">
      <w:pPr>
        <w:ind w:firstLine="720"/>
      </w:pPr>
      <w:r w:rsidRPr="00EF6168">
        <w:t xml:space="preserve">While profile evidence focuses on a person’s characteristics, common modus operandi evidence focuses on his actions. For example, a modus operandi expert has been allowed to testify “that drug traffickers often employ counter-surveillance driving </w:t>
      </w:r>
      <w:r w:rsidRPr="00EF6168">
        <w:lastRenderedPageBreak/>
        <w:t xml:space="preserve">techniques, register cars in others’ names, make narcotics and cash deliveries in public parking lots, and frequently use pagers and public telephones” to show that the defendant’s activities, which police had observed several times before his arrest, were consistent with common drug trafficking techniques. </w:t>
      </w:r>
      <w:r w:rsidRPr="00EF6168">
        <w:rPr>
          <w:i/>
          <w:iCs/>
        </w:rPr>
        <w:t>United States v. Gil</w:t>
      </w:r>
      <w:r w:rsidRPr="00EF6168">
        <w:t xml:space="preserve">, 58 F.3d 1414, 1417, 1422 (9th Cir. 1995). </w:t>
      </w:r>
      <w:r w:rsidR="00A374AD" w:rsidRPr="00EF6168">
        <w:t>M</w:t>
      </w:r>
      <w:r w:rsidRPr="00EF6168">
        <w:t xml:space="preserve">odus operandi evidence explains how observed actions match typical criminal methods, whereas profile evidence explains how the defendant’s characteristics match the characteristics of an archetypal </w:t>
      </w:r>
      <w:r w:rsidR="004121E0" w:rsidRPr="00EF6168">
        <w:t>low-level dealer</w:t>
      </w:r>
      <w:r w:rsidRPr="00EF6168">
        <w:t>.</w:t>
      </w:r>
      <w:r w:rsidR="004121E0" w:rsidRPr="00EF6168">
        <w:t xml:space="preserve"> </w:t>
      </w:r>
    </w:p>
    <w:p w14:paraId="5FC2D5CC" w14:textId="76FBDD1C" w:rsidR="00F1391B" w:rsidRPr="00E13262" w:rsidRDefault="00F1391B" w:rsidP="00F1391B">
      <w:pPr>
        <w:numPr>
          <w:ilvl w:val="0"/>
          <w:numId w:val="15"/>
        </w:numPr>
        <w:rPr>
          <w:b/>
          <w:bCs/>
        </w:rPr>
      </w:pPr>
      <w:r w:rsidRPr="00EF6168">
        <w:rPr>
          <w:b/>
          <w:bCs/>
        </w:rPr>
        <w:t xml:space="preserve">Det. Attebury’s </w:t>
      </w:r>
      <w:r w:rsidR="00D25329">
        <w:rPr>
          <w:b/>
          <w:bCs/>
        </w:rPr>
        <w:t>p</w:t>
      </w:r>
      <w:r w:rsidRPr="00EF6168">
        <w:rPr>
          <w:b/>
          <w:bCs/>
        </w:rPr>
        <w:t xml:space="preserve">roposed </w:t>
      </w:r>
      <w:r w:rsidR="00D25329">
        <w:rPr>
          <w:b/>
          <w:bCs/>
        </w:rPr>
        <w:t>t</w:t>
      </w:r>
      <w:r w:rsidRPr="00EF6168">
        <w:rPr>
          <w:b/>
          <w:bCs/>
        </w:rPr>
        <w:t xml:space="preserve">estimony </w:t>
      </w:r>
      <w:r w:rsidR="00CB5B6B">
        <w:rPr>
          <w:b/>
          <w:bCs/>
        </w:rPr>
        <w:t>i</w:t>
      </w:r>
      <w:r w:rsidRPr="00EF6168">
        <w:rPr>
          <w:b/>
          <w:bCs/>
        </w:rPr>
        <w:t xml:space="preserve">s </w:t>
      </w:r>
      <w:r w:rsidR="00CB5B6B">
        <w:rPr>
          <w:b/>
          <w:bCs/>
        </w:rPr>
        <w:t>p</w:t>
      </w:r>
      <w:r w:rsidRPr="00EF6168">
        <w:rPr>
          <w:b/>
          <w:bCs/>
        </w:rPr>
        <w:t xml:space="preserve">rofiling </w:t>
      </w:r>
      <w:r w:rsidR="00CB5B6B">
        <w:rPr>
          <w:b/>
          <w:bCs/>
        </w:rPr>
        <w:t>e</w:t>
      </w:r>
      <w:r w:rsidRPr="00EF6168">
        <w:rPr>
          <w:b/>
          <w:bCs/>
        </w:rPr>
        <w:t>vidence.</w:t>
      </w:r>
    </w:p>
    <w:p w14:paraId="5090CF1F" w14:textId="7EBC71FA" w:rsidR="00F1391B" w:rsidRPr="00EF6168" w:rsidRDefault="004121E0" w:rsidP="004121E0">
      <w:pPr>
        <w:ind w:firstLine="720"/>
      </w:pPr>
      <w:r w:rsidRPr="00EF6168">
        <w:t xml:space="preserve">This is not a complex case, so this is not a case where the government can or should be allowed to offer profile evidence. </w:t>
      </w:r>
      <w:r w:rsidRPr="00EF6168">
        <w:rPr>
          <w:i/>
          <w:iCs/>
        </w:rPr>
        <w:t>Espinoza</w:t>
      </w:r>
      <w:r w:rsidRPr="00EF6168">
        <w:t>-</w:t>
      </w:r>
      <w:r w:rsidRPr="00EF6168">
        <w:rPr>
          <w:i/>
          <w:iCs/>
        </w:rPr>
        <w:t>Valdez</w:t>
      </w:r>
      <w:r w:rsidRPr="00EF6168">
        <w:t xml:space="preserve">, 889 F.3d at 659 n.5. And </w:t>
      </w:r>
      <w:r w:rsidR="00F1391B" w:rsidRPr="00EF6168">
        <w:t xml:space="preserve">Det. Attebury is not going to talk about how Mr. </w:t>
      </w:r>
      <w:r w:rsidR="00074C2F">
        <w:t>Doe</w:t>
      </w:r>
      <w:r w:rsidR="00F1391B" w:rsidRPr="00EF6168">
        <w:t xml:space="preserve">’s behavior was consistent with typical criminal methods. Nobody observed him doing counter-surveillance driving. </w:t>
      </w:r>
      <w:r w:rsidR="00F1391B" w:rsidRPr="00EF6168">
        <w:rPr>
          <w:i/>
          <w:iCs/>
        </w:rPr>
        <w:t>See Gil</w:t>
      </w:r>
      <w:r w:rsidR="00F1391B" w:rsidRPr="00EF6168">
        <w:t xml:space="preserve">, 58 F.3d at 1422. No one saw him deliver a package in a public parking lot. </w:t>
      </w:r>
      <w:r w:rsidR="00F1391B" w:rsidRPr="00EF6168">
        <w:rPr>
          <w:i/>
          <w:iCs/>
        </w:rPr>
        <w:t>See id.</w:t>
      </w:r>
      <w:r w:rsidR="00F1391B" w:rsidRPr="00EF6168">
        <w:t xml:space="preserve"> </w:t>
      </w:r>
      <w:r w:rsidRPr="00EF6168">
        <w:t xml:space="preserve">Police saw Mr. </w:t>
      </w:r>
      <w:r w:rsidR="00074C2F">
        <w:t>Doe</w:t>
      </w:r>
      <w:r w:rsidRPr="00EF6168">
        <w:t xml:space="preserve"> holding suspected drugs and money. </w:t>
      </w:r>
      <w:r w:rsidR="00C95879" w:rsidRPr="00EF6168">
        <w:t>The officers say this was a hand-to-hand sale, but there is nothing unique, difficult, or outside a layman’s understanding.</w:t>
      </w:r>
    </w:p>
    <w:p w14:paraId="5E66B432" w14:textId="26E510BC" w:rsidR="007D2FB3" w:rsidRPr="00EF6168" w:rsidRDefault="007D2FB3" w:rsidP="00EF6168">
      <w:pPr>
        <w:ind w:firstLine="720"/>
      </w:pPr>
      <w:r w:rsidRPr="00EF6168">
        <w:t>Det. Attebury’s testimony is profiling, not modus operandi: he will testify about general practices</w:t>
      </w:r>
      <w:r w:rsidR="009E4B3F">
        <w:t xml:space="preserve"> and</w:t>
      </w:r>
      <w:r w:rsidRPr="00EF6168">
        <w:t xml:space="preserve"> common characteristics and then </w:t>
      </w:r>
      <w:r w:rsidR="009E4B3F">
        <w:t>he will conclude</w:t>
      </w:r>
      <w:r w:rsidRPr="00EF6168">
        <w:t xml:space="preserve"> that Mr. </w:t>
      </w:r>
      <w:r w:rsidR="00074C2F">
        <w:t>Doe</w:t>
      </w:r>
      <w:r w:rsidRPr="00EF6168">
        <w:t>’s characteristics are “consistent with” street-level drug traffickers. As in</w:t>
      </w:r>
      <w:r w:rsidR="00EF6168" w:rsidRPr="00EF6168">
        <w:t xml:space="preserve"> </w:t>
      </w:r>
      <w:r w:rsidR="00EF6168" w:rsidRPr="00EF6168">
        <w:rPr>
          <w:i/>
          <w:iCs/>
        </w:rPr>
        <w:t>Espinoza-Valdez</w:t>
      </w:r>
      <w:r w:rsidR="00EF6168" w:rsidRPr="00EF6168">
        <w:t xml:space="preserve">, </w:t>
      </w:r>
      <w:r w:rsidRPr="00EF6168">
        <w:t xml:space="preserve">where the agent testified about typical smuggling practices, Det. Attebury will talk about general practices of drug traffickers. Ex. 1. As in </w:t>
      </w:r>
      <w:r w:rsidRPr="00EF6168">
        <w:rPr>
          <w:i/>
          <w:iCs/>
        </w:rPr>
        <w:t>Espinoza-Valdez</w:t>
      </w:r>
      <w:r w:rsidRPr="00EF6168">
        <w:t xml:space="preserve">, where the agent testified about how scouts fit into drug smuggling operations and the gear they carried, he will talk about how street-level dealers operate and what property they typically carry. Finally, as in </w:t>
      </w:r>
      <w:r w:rsidRPr="00EF6168">
        <w:rPr>
          <w:i/>
          <w:iCs/>
        </w:rPr>
        <w:t>Espinoza-Valdez</w:t>
      </w:r>
      <w:r w:rsidRPr="00EF6168">
        <w:t xml:space="preserve">, where the agent concluded the circumstances of the defendant’s apprehension were “consistent with” being a drug-trafficking scout, Det. Attebury will conclude that the property Mr. </w:t>
      </w:r>
      <w:r w:rsidR="00074C2F">
        <w:t>Doe</w:t>
      </w:r>
      <w:r w:rsidRPr="00EF6168">
        <w:t xml:space="preserve"> had when </w:t>
      </w:r>
      <w:r w:rsidRPr="00EF6168">
        <w:lastRenderedPageBreak/>
        <w:t>arrested is “consistent with” distribution as a street-level dealer.</w:t>
      </w:r>
      <w:r w:rsidR="00EF6168" w:rsidRPr="00EF6168">
        <w:rPr>
          <w:rStyle w:val="FootnoteReference"/>
        </w:rPr>
        <w:footnoteReference w:id="1"/>
      </w:r>
      <w:r w:rsidRPr="00EF6168">
        <w:t xml:space="preserve"> </w:t>
      </w:r>
      <w:r w:rsidR="00EF6168" w:rsidRPr="00EF6168">
        <w:t xml:space="preserve">Thus, as in </w:t>
      </w:r>
      <w:r w:rsidR="00EF6168" w:rsidRPr="00EF6168">
        <w:rPr>
          <w:i/>
          <w:iCs/>
        </w:rPr>
        <w:t>Espinoza-Valdez</w:t>
      </w:r>
      <w:r w:rsidR="00EF6168" w:rsidRPr="00EF6168">
        <w:t xml:space="preserve">, Det. Attebury’s testimony should not be admitted—particularly when it is the core of the government’s case. </w:t>
      </w:r>
      <w:r w:rsidR="00EF6168" w:rsidRPr="00EF6168">
        <w:rPr>
          <w:i/>
          <w:iCs/>
        </w:rPr>
        <w:t>Espinoza-Valdez</w:t>
      </w:r>
      <w:r w:rsidR="00EF6168" w:rsidRPr="00EF6168">
        <w:t>, 889 F.3d at 659.</w:t>
      </w:r>
    </w:p>
    <w:p w14:paraId="251BDD7F" w14:textId="77777777" w:rsidR="00F1391B" w:rsidRPr="00EF6168" w:rsidRDefault="00F1391B" w:rsidP="00F1391B">
      <w:pPr>
        <w:numPr>
          <w:ilvl w:val="0"/>
          <w:numId w:val="15"/>
        </w:numPr>
        <w:spacing w:line="240" w:lineRule="auto"/>
        <w:rPr>
          <w:b/>
          <w:bCs/>
        </w:rPr>
      </w:pPr>
      <w:r w:rsidRPr="00EF6168">
        <w:rPr>
          <w:b/>
          <w:bCs/>
        </w:rPr>
        <w:t>The risk of unfair prejudice substantially outweighs the probative value of Det. Attebury’s testimony.</w:t>
      </w:r>
    </w:p>
    <w:p w14:paraId="390D2A3A" w14:textId="190A550C" w:rsidR="00F1391B" w:rsidRPr="00EF6168" w:rsidRDefault="00F1391B" w:rsidP="00F1391B">
      <w:pPr>
        <w:ind w:firstLine="720"/>
      </w:pPr>
      <w:r w:rsidRPr="00EF6168">
        <w:t xml:space="preserve">Profile evidence is already “inherently prejudicial.” </w:t>
      </w:r>
      <w:r w:rsidRPr="00EF6168">
        <w:rPr>
          <w:i/>
          <w:iCs/>
        </w:rPr>
        <w:t>Lim</w:t>
      </w:r>
      <w:r w:rsidRPr="00EF6168">
        <w:t xml:space="preserve">, 984 F.2d at 334. The risk of unfair prejudice is heightened when the testimony comes from an “expert bearing the court’s imprimatur.” </w:t>
      </w:r>
      <w:r w:rsidRPr="00EF6168">
        <w:rPr>
          <w:i/>
          <w:iCs/>
        </w:rPr>
        <w:t>Buck</w:t>
      </w:r>
      <w:r w:rsidRPr="00EF6168">
        <w:t xml:space="preserve">, 580 U.S. at 121. It is heightened further because Det. Attebury “carries an aura of special reliability and trustworthiness” as a law enforcement officer. </w:t>
      </w:r>
      <w:r w:rsidRPr="00EF6168">
        <w:rPr>
          <w:i/>
          <w:iCs/>
        </w:rPr>
        <w:t>United States v. Gutierrez</w:t>
      </w:r>
      <w:r w:rsidRPr="00EF6168">
        <w:t xml:space="preserve">, 995 F.2d 169, 172 (9th Cir. 1993). When he tells the jurors that Mr. </w:t>
      </w:r>
      <w:r w:rsidR="00074C2F">
        <w:t>Doe</w:t>
      </w:r>
      <w:r w:rsidRPr="00EF6168">
        <w:t xml:space="preserve"> was carrying exactly what he expects a low-level drug dealer to carry, they are inclined to trust his expert assessment.</w:t>
      </w:r>
    </w:p>
    <w:p w14:paraId="4919CBC9" w14:textId="7634CAF7" w:rsidR="00F1391B" w:rsidRPr="00EF6168" w:rsidRDefault="00F1391B" w:rsidP="00F1391B">
      <w:pPr>
        <w:ind w:firstLine="720"/>
      </w:pPr>
      <w:r w:rsidRPr="00EF6168">
        <w:t xml:space="preserve">It is one thing for the </w:t>
      </w:r>
      <w:r w:rsidRPr="009E4B3F">
        <w:rPr>
          <w:i/>
          <w:iCs/>
        </w:rPr>
        <w:t>prosecutor</w:t>
      </w:r>
      <w:r w:rsidRPr="00EF6168">
        <w:t xml:space="preserve"> to argue that Mr. </w:t>
      </w:r>
      <w:r w:rsidR="00074C2F">
        <w:t>Doe</w:t>
      </w:r>
      <w:r w:rsidRPr="00EF6168">
        <w:t xml:space="preserve"> intended to distribute fentanyl because he had more pills than usual and that his money was the proceeds of drug sales. It is another thing entirely for a </w:t>
      </w:r>
      <w:r w:rsidR="009E4B3F">
        <w:t>police</w:t>
      </w:r>
      <w:r w:rsidRPr="00EF6168">
        <w:t xml:space="preserve"> officer to put an expert “stamp of approval on the government’s case.” </w:t>
      </w:r>
      <w:r w:rsidRPr="00EF6168">
        <w:rPr>
          <w:i/>
          <w:iCs/>
        </w:rPr>
        <w:t>United States v. Gaines</w:t>
      </w:r>
      <w:r w:rsidRPr="00EF6168">
        <w:t xml:space="preserve">, 170 F.3d 72, 80 (1st Cir. 1999). </w:t>
      </w:r>
      <w:r w:rsidRPr="00D25329">
        <w:t>That’s</w:t>
      </w:r>
      <w:r w:rsidRPr="00EF6168">
        <w:t xml:space="preserve"> all Det. Attebury will do. The probative value of his testimony lies only in “its ability to answer the impermissible question of whether,” based on what Mr. </w:t>
      </w:r>
      <w:r w:rsidR="00074C2F">
        <w:t>Doe</w:t>
      </w:r>
      <w:r w:rsidRPr="00EF6168">
        <w:t xml:space="preserve"> was carrying, he matches the characteristics of an archetypal low-level drug dealer. </w:t>
      </w:r>
      <w:r w:rsidRPr="00EF6168">
        <w:rPr>
          <w:i/>
          <w:iCs/>
        </w:rPr>
        <w:t>Wells</w:t>
      </w:r>
      <w:r w:rsidRPr="00EF6168">
        <w:t xml:space="preserve">, 879 F.3d at 923. His testimony does nothing to explain how Mr. </w:t>
      </w:r>
      <w:r w:rsidR="00074C2F">
        <w:t>Doe</w:t>
      </w:r>
      <w:r w:rsidRPr="00EF6168">
        <w:t>’s actions compare to the common methods of drug dealers.</w:t>
      </w:r>
    </w:p>
    <w:p w14:paraId="7DABBA41" w14:textId="77777777" w:rsidR="00E6286C" w:rsidRPr="00EF6168" w:rsidRDefault="00E6286C" w:rsidP="00E6286C">
      <w:pPr>
        <w:numPr>
          <w:ilvl w:val="0"/>
          <w:numId w:val="14"/>
        </w:numPr>
        <w:rPr>
          <w:b/>
          <w:bCs/>
        </w:rPr>
      </w:pPr>
      <w:r w:rsidRPr="00EF6168">
        <w:rPr>
          <w:b/>
          <w:bCs/>
        </w:rPr>
        <w:t>Irrelevant Testimony Should Be Excluded</w:t>
      </w:r>
      <w:r w:rsidR="00CB5B6B">
        <w:rPr>
          <w:b/>
          <w:bCs/>
        </w:rPr>
        <w:t>.</w:t>
      </w:r>
    </w:p>
    <w:p w14:paraId="40154075" w14:textId="642F1880" w:rsidR="00E6286C" w:rsidRPr="00EF6168" w:rsidRDefault="00E6286C" w:rsidP="00071FE0">
      <w:pPr>
        <w:ind w:firstLine="720"/>
      </w:pPr>
      <w:r w:rsidRPr="00EF6168">
        <w:t xml:space="preserve">Det. Attebury should not be permitted to testify about code words, that drug dealers put property in others’ names, </w:t>
      </w:r>
      <w:r w:rsidR="00071FE0" w:rsidRPr="00EF6168">
        <w:t xml:space="preserve">or </w:t>
      </w:r>
      <w:r w:rsidRPr="00EF6168">
        <w:t xml:space="preserve">methods used to avoid detection. </w:t>
      </w:r>
      <w:r w:rsidR="00AB20CA" w:rsidRPr="00EF6168">
        <w:t>Th</w:t>
      </w:r>
      <w:r w:rsidR="00071FE0" w:rsidRPr="00EF6168">
        <w:t>is information</w:t>
      </w:r>
      <w:r w:rsidR="00AB20CA" w:rsidRPr="00EF6168">
        <w:t xml:space="preserve"> </w:t>
      </w:r>
      <w:r w:rsidR="00071FE0" w:rsidRPr="00EF6168">
        <w:t>is</w:t>
      </w:r>
      <w:r w:rsidR="00AB20CA" w:rsidRPr="00EF6168">
        <w:t xml:space="preserve"> not </w:t>
      </w:r>
      <w:r w:rsidR="00071FE0" w:rsidRPr="00EF6168">
        <w:t xml:space="preserve">relevant given the facts of this case. </w:t>
      </w:r>
      <w:r w:rsidRPr="00EF6168">
        <w:t xml:space="preserve">Nothing in the discovery produced suggests any code words or slang were used here. There is no evidence that </w:t>
      </w:r>
      <w:r w:rsidRPr="00EF6168">
        <w:lastRenderedPageBreak/>
        <w:t xml:space="preserve">Mr. </w:t>
      </w:r>
      <w:r w:rsidR="00074C2F">
        <w:t>Doe</w:t>
      </w:r>
      <w:r w:rsidRPr="00EF6168">
        <w:t xml:space="preserve"> (or anyone else) asked another person to hide property or assets by putting property in their names. Nor is there any evidence of efforts to avoid detection in any unusual or sophisticated way the jury needs an expert’s help to understand.</w:t>
      </w:r>
      <w:r w:rsidR="00071FE0" w:rsidRPr="00EF6168">
        <w:t xml:space="preserve"> These irrelevant topics will not assist the trier of fact decide any material and will instead distract from the from important issues that will make a difference to the outcome of the case. Accordingly, Det. Attebury should not be permitted to testify about these topics. </w:t>
      </w:r>
      <w:r w:rsidR="00071FE0" w:rsidRPr="00EF6168">
        <w:rPr>
          <w:i/>
          <w:iCs/>
        </w:rPr>
        <w:t>See</w:t>
      </w:r>
      <w:r w:rsidR="00071FE0" w:rsidRPr="00EF6168">
        <w:t xml:space="preserve"> Fed. R. Evid. 401, 403, 702(a).</w:t>
      </w:r>
    </w:p>
    <w:p w14:paraId="0A569143" w14:textId="77777777" w:rsidR="0081326F" w:rsidRPr="00EF6168" w:rsidRDefault="0081326F" w:rsidP="0081326F">
      <w:pPr>
        <w:numPr>
          <w:ilvl w:val="0"/>
          <w:numId w:val="14"/>
        </w:numPr>
        <w:rPr>
          <w:b/>
          <w:bCs/>
        </w:rPr>
      </w:pPr>
      <w:r w:rsidRPr="00EF6168">
        <w:rPr>
          <w:b/>
          <w:bCs/>
        </w:rPr>
        <w:t>Testimony About Common Knowledge Should Be Excluded</w:t>
      </w:r>
      <w:r w:rsidR="00315B38">
        <w:rPr>
          <w:b/>
          <w:bCs/>
        </w:rPr>
        <w:t>.</w:t>
      </w:r>
    </w:p>
    <w:p w14:paraId="360F7921" w14:textId="77777777" w:rsidR="00071FE0" w:rsidRPr="00EF6168" w:rsidRDefault="0081326F" w:rsidP="00C838C3">
      <w:pPr>
        <w:ind w:firstLine="720"/>
      </w:pPr>
      <w:r w:rsidRPr="00EF6168">
        <w:t xml:space="preserve">The jury does not need testimony by an expert to understand many commonsense and well-known facts. </w:t>
      </w:r>
      <w:r w:rsidR="00852D16" w:rsidRPr="00EF6168">
        <w:rPr>
          <w:i/>
          <w:iCs/>
          <w:bdr w:val="none" w:sz="0" w:space="0" w:color="auto" w:frame="1"/>
        </w:rPr>
        <w:t>United States v. Finley</w:t>
      </w:r>
      <w:r w:rsidR="00852D16" w:rsidRPr="00EF6168">
        <w:t xml:space="preserve">, 301 F.3d 1000, 1008 (9th Cir. 2002). </w:t>
      </w:r>
      <w:r w:rsidR="007A2900" w:rsidRPr="00EF6168">
        <w:t xml:space="preserve">Expert testimony is not admissible “on ‘matters that are readily intelligible.’” </w:t>
      </w:r>
      <w:r w:rsidR="007A2900" w:rsidRPr="00EF6168">
        <w:rPr>
          <w:i/>
          <w:iCs/>
        </w:rPr>
        <w:t>Gaines</w:t>
      </w:r>
      <w:r w:rsidR="007A2900" w:rsidRPr="00EF6168">
        <w:t xml:space="preserve">, 170 F.3d at 80 (quoting </w:t>
      </w:r>
      <w:r w:rsidR="00071FE0" w:rsidRPr="00EF6168">
        <w:rPr>
          <w:i/>
          <w:iCs/>
        </w:rPr>
        <w:t>United States</w:t>
      </w:r>
      <w:r w:rsidR="007A2900" w:rsidRPr="00EF6168">
        <w:rPr>
          <w:i/>
          <w:iCs/>
        </w:rPr>
        <w:t xml:space="preserve"> v. Montas</w:t>
      </w:r>
      <w:r w:rsidR="007A2900" w:rsidRPr="00EF6168">
        <w:t xml:space="preserve">, 41 F.3d 775, 784 (1st Cir. 1994)) (cleaned up). </w:t>
      </w:r>
      <w:r w:rsidR="00071FE0" w:rsidRPr="00EF6168">
        <w:t>Yet Det. Attebury intends to offer “expert” testimony on topics laymen understand well.</w:t>
      </w:r>
    </w:p>
    <w:p w14:paraId="0AA6ACE6" w14:textId="77777777" w:rsidR="00C838C3" w:rsidRPr="00EF6168" w:rsidRDefault="00852D16" w:rsidP="00C838C3">
      <w:pPr>
        <w:ind w:firstLine="720"/>
      </w:pPr>
      <w:r w:rsidRPr="00EF6168">
        <w:t xml:space="preserve">That fentanyl, methamphetamine, heroin, and cocaine are controlled substances is common knowledge. That drugs are addictive is also well-known. Nearly every day, the Seattle Times has a story about the ongoing opioid epidemic. </w:t>
      </w:r>
      <w:r w:rsidRPr="00EF6168">
        <w:rPr>
          <w:i/>
          <w:iCs/>
        </w:rPr>
        <w:t xml:space="preserve">See </w:t>
      </w:r>
      <w:r w:rsidRPr="00EF6168">
        <w:t xml:space="preserve">Articles with Fentanyl Tag, Seattle Times (last accessed Apr. 9, 2024), available at </w:t>
      </w:r>
      <w:hyperlink r:id="rId8" w:history="1">
        <w:r w:rsidRPr="00EF6168">
          <w:rPr>
            <w:rStyle w:val="Hyperlink"/>
            <w:color w:val="auto"/>
          </w:rPr>
          <w:t>https://perma.cc/GCE2-L9N6</w:t>
        </w:r>
      </w:hyperlink>
      <w:r w:rsidRPr="00EF6168">
        <w:t xml:space="preserve">. </w:t>
      </w:r>
      <w:r w:rsidR="00C838C3" w:rsidRPr="00EF6168">
        <w:t xml:space="preserve">And most people understand that people use cash to purchase drugs (among other things) and that drugs can be stored in pockets or backpacks. These are not topics beyond common understanding. </w:t>
      </w:r>
      <w:r w:rsidRPr="00EF6168">
        <w:t xml:space="preserve">Det. Attebury does not need to tell the jury </w:t>
      </w:r>
      <w:r w:rsidR="00C838C3" w:rsidRPr="00EF6168">
        <w:t>this</w:t>
      </w:r>
      <w:r w:rsidRPr="00EF6168">
        <w:t xml:space="preserve"> information for them to know it’s true. </w:t>
      </w:r>
    </w:p>
    <w:p w14:paraId="3743B917" w14:textId="122D7B44" w:rsidR="00852D16" w:rsidRPr="00EF6168" w:rsidRDefault="00852D16" w:rsidP="00852D16">
      <w:pPr>
        <w:ind w:firstLine="720"/>
      </w:pPr>
      <w:r w:rsidRPr="00EF6168">
        <w:t>Moreover, the fact that drugs are addicting is not relevant to prove any element of the charged offense</w:t>
      </w:r>
      <w:r w:rsidR="00C838C3" w:rsidRPr="00EF6168">
        <w:t xml:space="preserve">. </w:t>
      </w:r>
      <w:r w:rsidR="00C838C3" w:rsidRPr="00EF6168">
        <w:rPr>
          <w:i/>
          <w:iCs/>
        </w:rPr>
        <w:t xml:space="preserve">See </w:t>
      </w:r>
      <w:r w:rsidR="00C838C3" w:rsidRPr="00EF6168">
        <w:t xml:space="preserve">9th Cir. Model Crim. Jury Instr. 12.1 (possession of a controlled substance with intent to distribute); </w:t>
      </w:r>
      <w:r w:rsidR="00C838C3" w:rsidRPr="00EF6168">
        <w:rPr>
          <w:i/>
          <w:iCs/>
        </w:rPr>
        <w:t>Id.</w:t>
      </w:r>
      <w:r w:rsidR="00C838C3" w:rsidRPr="00EF6168">
        <w:t xml:space="preserve"> 14.16 (unlawful possession of a firearm by a convicted felon); </w:t>
      </w:r>
      <w:r w:rsidR="00C838C3" w:rsidRPr="00EF6168">
        <w:rPr>
          <w:i/>
          <w:iCs/>
        </w:rPr>
        <w:t>Id.</w:t>
      </w:r>
      <w:r w:rsidR="00C838C3" w:rsidRPr="00EF6168">
        <w:t xml:space="preserve"> 14.23 (possession of a firearm in furtherance of a drug </w:t>
      </w:r>
      <w:r w:rsidR="00C838C3" w:rsidRPr="00EF6168">
        <w:lastRenderedPageBreak/>
        <w:t xml:space="preserve">trafficking crime). The government </w:t>
      </w:r>
      <w:r w:rsidR="00816C94" w:rsidRPr="00EF6168">
        <w:t>wants</w:t>
      </w:r>
      <w:r w:rsidR="00C838C3" w:rsidRPr="00EF6168">
        <w:t xml:space="preserve"> Det. Attebury</w:t>
      </w:r>
      <w:r w:rsidR="00816C94" w:rsidRPr="00EF6168">
        <w:t xml:space="preserve"> to</w:t>
      </w:r>
      <w:r w:rsidR="00C838C3" w:rsidRPr="00EF6168">
        <w:t xml:space="preserve"> tell the jury that drugs are addicting only to </w:t>
      </w:r>
      <w:r w:rsidR="00F769A2" w:rsidRPr="00EF6168">
        <w:t xml:space="preserve">inflame the juror’s anger at the ongoing opioid epidemic and encourage them to direct that anger at Mr. </w:t>
      </w:r>
      <w:r w:rsidR="00074C2F">
        <w:t>Doe</w:t>
      </w:r>
      <w:r w:rsidR="00F769A2" w:rsidRPr="00EF6168">
        <w:t xml:space="preserve">. </w:t>
      </w:r>
      <w:r w:rsidR="00F769A2" w:rsidRPr="00EF6168">
        <w:rPr>
          <w:i/>
          <w:iCs/>
        </w:rPr>
        <w:t xml:space="preserve">See </w:t>
      </w:r>
      <w:r w:rsidR="00F769A2" w:rsidRPr="00EF6168">
        <w:t>Fed. R. Evid. 403.</w:t>
      </w:r>
    </w:p>
    <w:p w14:paraId="3C207069" w14:textId="0927F229" w:rsidR="00315B38" w:rsidRPr="00EF6168" w:rsidRDefault="00F769A2">
      <w:pPr>
        <w:ind w:firstLine="720"/>
      </w:pPr>
      <w:r w:rsidRPr="00EF6168">
        <w:t>In addition, the jury does not need Det. Attebury to explain that people use cash to buy drugs</w:t>
      </w:r>
      <w:r w:rsidR="00071FE0" w:rsidRPr="00EF6168">
        <w:t xml:space="preserve"> or that they put drugs in bags and pants pockets</w:t>
      </w:r>
      <w:r w:rsidRPr="00EF6168">
        <w:t xml:space="preserve">. Cash is used to purchase all manner of things, including drugs. </w:t>
      </w:r>
      <w:r w:rsidR="00D25329">
        <w:t>J</w:t>
      </w:r>
      <w:r w:rsidR="00071FE0" w:rsidRPr="00EF6168">
        <w:t xml:space="preserve">urors do not need Det. Attebury’s help to understand that sometimes people put drugs in backpacks or pockets or that people use cash to buy drugs. </w:t>
      </w:r>
      <w:r w:rsidR="007A2900" w:rsidRPr="00EF6168">
        <w:rPr>
          <w:i/>
          <w:iCs/>
        </w:rPr>
        <w:t>See Gaines</w:t>
      </w:r>
      <w:r w:rsidR="007A2900" w:rsidRPr="00EF6168">
        <w:t>, 170 F.3d</w:t>
      </w:r>
      <w:r w:rsidR="007A2900" w:rsidRPr="00EF6168">
        <w:rPr>
          <w:i/>
          <w:iCs/>
        </w:rPr>
        <w:t xml:space="preserve"> </w:t>
      </w:r>
      <w:r w:rsidR="007A2900" w:rsidRPr="00EF6168">
        <w:t>at 81 (“That cash might be used because it is difficult to trace, and that cash was ‘consistent with’ drug dealing, could hardly have been very novel or startling ideas to this jury.”).</w:t>
      </w:r>
      <w:r w:rsidRPr="00EF6168">
        <w:t xml:space="preserve"> </w:t>
      </w:r>
      <w:r w:rsidR="007A2900" w:rsidRPr="00EF6168">
        <w:t>Accordingly, his testimony about the use of cash in drug transactions and his opinion that a large amount of cash is consistent with selling drugs is not admissible.</w:t>
      </w:r>
      <w:r w:rsidR="00071FE0" w:rsidRPr="00EF6168">
        <w:t xml:space="preserve"> </w:t>
      </w:r>
      <w:r w:rsidR="00071FE0" w:rsidRPr="00EF6168">
        <w:rPr>
          <w:i/>
          <w:iCs/>
        </w:rPr>
        <w:t xml:space="preserve">See </w:t>
      </w:r>
      <w:r w:rsidR="00071FE0" w:rsidRPr="00EF6168">
        <w:t>Fed. R. Evid. 702(a).</w:t>
      </w:r>
    </w:p>
    <w:p w14:paraId="438549CE" w14:textId="77777777" w:rsidR="00315B38" w:rsidRDefault="00315B38" w:rsidP="00D25329">
      <w:pPr>
        <w:spacing w:line="240" w:lineRule="auto"/>
        <w:ind w:left="720"/>
        <w:rPr>
          <w:b/>
          <w:bCs/>
        </w:rPr>
      </w:pPr>
    </w:p>
    <w:p w14:paraId="6B6D3F9F" w14:textId="78DF6A1F" w:rsidR="00F769A2" w:rsidRPr="00EF6168" w:rsidRDefault="00D72B68" w:rsidP="00D72B68">
      <w:pPr>
        <w:numPr>
          <w:ilvl w:val="0"/>
          <w:numId w:val="14"/>
        </w:numPr>
        <w:spacing w:line="240" w:lineRule="auto"/>
        <w:rPr>
          <w:b/>
          <w:bCs/>
        </w:rPr>
      </w:pPr>
      <w:r w:rsidRPr="00EF6168">
        <w:rPr>
          <w:b/>
          <w:bCs/>
        </w:rPr>
        <w:t xml:space="preserve">A </w:t>
      </w:r>
      <w:r w:rsidRPr="00EF6168">
        <w:rPr>
          <w:b/>
          <w:bCs/>
          <w:i/>
          <w:iCs/>
        </w:rPr>
        <w:t>Daubert</w:t>
      </w:r>
      <w:r w:rsidRPr="00EF6168">
        <w:rPr>
          <w:b/>
          <w:bCs/>
        </w:rPr>
        <w:t xml:space="preserve"> Hearing Is Necessary Before Allowing Det. Attebury to Testify About </w:t>
      </w:r>
      <w:r w:rsidR="00315B38">
        <w:rPr>
          <w:b/>
          <w:bCs/>
        </w:rPr>
        <w:t xml:space="preserve">the Quantity of </w:t>
      </w:r>
      <w:r w:rsidRPr="00EF6168">
        <w:rPr>
          <w:b/>
          <w:bCs/>
        </w:rPr>
        <w:t>Fentanyl Pills, Methamphetamine, or Cocaine a Person Can Use in One Day.</w:t>
      </w:r>
    </w:p>
    <w:p w14:paraId="592EA428" w14:textId="47669883" w:rsidR="0081326F" w:rsidRPr="00EF6168" w:rsidRDefault="002D79CF" w:rsidP="00FC4EC7">
      <w:pPr>
        <w:ind w:firstLine="720"/>
      </w:pPr>
      <w:r w:rsidRPr="00EF6168">
        <w:t xml:space="preserve">When the police searched Mr. </w:t>
      </w:r>
      <w:r w:rsidR="00074C2F">
        <w:t>Doe</w:t>
      </w:r>
      <w:r w:rsidRPr="00EF6168">
        <w:t xml:space="preserve"> and the bags he was carrying, they found 0.713 grams of methamphetamine, 3.507 grams of powder cocaine, 20 grams of crack cocaine, 3.91 grams of heroin, and 88 fentanyl pills. </w:t>
      </w:r>
      <w:r w:rsidR="00D72B68" w:rsidRPr="00EF6168">
        <w:t>The government expects Det.</w:t>
      </w:r>
      <w:r w:rsidR="00315B38">
        <w:t> </w:t>
      </w:r>
      <w:r w:rsidR="00D72B68" w:rsidRPr="00EF6168">
        <w:t xml:space="preserve">Attebury will testify that the quantity of drugs found in Mr. </w:t>
      </w:r>
      <w:r w:rsidR="00074C2F">
        <w:t>Doe</w:t>
      </w:r>
      <w:r w:rsidR="00D72B68" w:rsidRPr="00EF6168">
        <w:t>’s pocket and in the bags he carried are “consistent with amounts possessed by street-level distributors, rather than users, of controlled substances[.]”</w:t>
      </w:r>
      <w:r w:rsidRPr="00EF6168">
        <w:t xml:space="preserve"> </w:t>
      </w:r>
      <w:r w:rsidR="00883E58" w:rsidRPr="00EF6168">
        <w:t xml:space="preserve">Ex. </w:t>
      </w:r>
      <w:r w:rsidR="00E13262">
        <w:t>1</w:t>
      </w:r>
      <w:r w:rsidR="00883E58" w:rsidRPr="00EF6168">
        <w:t>, Attebury Disclosure Ltr. He does not have the “knowledge, skill, experience, training, or education” to offer any opinion about how much of each substance a person can use on a regular basis. Fed. R. Evid. 702(a).</w:t>
      </w:r>
      <w:r w:rsidR="00FC4EC7" w:rsidRPr="00EF6168">
        <w:t xml:space="preserve"> </w:t>
      </w:r>
      <w:r w:rsidR="00883E58" w:rsidRPr="00EF6168">
        <w:t xml:space="preserve">Det. Attebury’s opinion is also not based on sufficient facts or data, nor is it the product of reliable principles and methods that he reliably applied. </w:t>
      </w:r>
      <w:r w:rsidR="00883E58" w:rsidRPr="00EF6168">
        <w:rPr>
          <w:i/>
          <w:iCs/>
        </w:rPr>
        <w:t>Id.</w:t>
      </w:r>
      <w:r w:rsidR="00883E58" w:rsidRPr="00EF6168">
        <w:t xml:space="preserve"> 702(b)–(D). The Court should hold a </w:t>
      </w:r>
      <w:r w:rsidR="00883E58" w:rsidRPr="00EF6168">
        <w:rPr>
          <w:i/>
          <w:iCs/>
        </w:rPr>
        <w:t xml:space="preserve">Daubert </w:t>
      </w:r>
      <w:r w:rsidR="00883E58" w:rsidRPr="00EF6168">
        <w:t>hearing before allowing Det. Attebury to testify about how much of any particular type of drug a person can use in a day.</w:t>
      </w:r>
    </w:p>
    <w:p w14:paraId="6D5C73DC" w14:textId="77777777" w:rsidR="00FC4EC7" w:rsidRPr="00EF6168" w:rsidRDefault="00FC4EC7" w:rsidP="00FC4EC7">
      <w:pPr>
        <w:ind w:firstLine="720"/>
      </w:pPr>
      <w:r w:rsidRPr="00EF6168">
        <w:lastRenderedPageBreak/>
        <w:t xml:space="preserve">The ability to draw conclusions about how much </w:t>
      </w:r>
      <w:r w:rsidR="00315B38">
        <w:t xml:space="preserve">a </w:t>
      </w:r>
      <w:r w:rsidRPr="00EF6168">
        <w:t xml:space="preserve">person who regularly uses each drug </w:t>
      </w:r>
      <w:r w:rsidR="00315B38">
        <w:t xml:space="preserve">could be expected to consume </w:t>
      </w:r>
      <w:r w:rsidRPr="00EF6168">
        <w:t>requires knowing how quickly the drug wears off, how quickly withdrawal symptoms set in, how tolerance develops, and how much a person takes each day. Det. Attebury has no training in pharmacokinetics or pharmacodynamics, which study the interaction between drugs and the body.</w:t>
      </w:r>
    </w:p>
    <w:p w14:paraId="0ED5BD41" w14:textId="7B648C90" w:rsidR="002D79CF" w:rsidRPr="00E13262" w:rsidRDefault="00FC4EC7" w:rsidP="0081326F">
      <w:pPr>
        <w:ind w:firstLine="720"/>
        <w:rPr>
          <w:i/>
          <w:iCs/>
        </w:rPr>
      </w:pPr>
      <w:r w:rsidRPr="00EF6168">
        <w:t xml:space="preserve">Research conducted by people who actually have the requisite training and experience to offer this type of opinion contradicts Det. Attebury’s claims. </w:t>
      </w:r>
      <w:r w:rsidR="0096300D" w:rsidRPr="00EF6168">
        <w:t xml:space="preserve">Dr. Nicole Rodin, a pharmacist and research investigator specializing in the field of substance use disorders, explains why possession of 88 pills is consistent with personal use. </w:t>
      </w:r>
      <w:r w:rsidR="0096300D" w:rsidRPr="00EF6168">
        <w:rPr>
          <w:i/>
          <w:iCs/>
        </w:rPr>
        <w:t xml:space="preserve">See </w:t>
      </w:r>
      <w:r w:rsidR="0096300D" w:rsidRPr="00EF6168">
        <w:t xml:space="preserve">Ex. </w:t>
      </w:r>
      <w:r w:rsidR="00EF6168">
        <w:t>2</w:t>
      </w:r>
      <w:r w:rsidR="0096300D" w:rsidRPr="00EF6168">
        <w:t xml:space="preserve">, Rodin Report at 1. The amount a person uses each day depends on a variety of factors, such as a person’s physical characteristics, how the drug was made, how the person takes the drug, and the potency of the drug. </w:t>
      </w:r>
      <w:r w:rsidR="00E13262">
        <w:rPr>
          <w:i/>
          <w:iCs/>
        </w:rPr>
        <w:t>Id.</w:t>
      </w:r>
      <w:r w:rsidR="00E13262">
        <w:t xml:space="preserve"> </w:t>
      </w:r>
      <w:r w:rsidR="0096300D" w:rsidRPr="00EF6168">
        <w:t xml:space="preserve">Tolerance increases quickly with continued use. </w:t>
      </w:r>
      <w:r w:rsidR="0096300D" w:rsidRPr="00EF6168">
        <w:rPr>
          <w:i/>
          <w:iCs/>
        </w:rPr>
        <w:t>Id.</w:t>
      </w:r>
      <w:r w:rsidR="00E13262">
        <w:t xml:space="preserve"> The effects of fentanyl use are brief—a person who has developed tolerance begins to experience withdrawal symptoms about two hours after ingestion. </w:t>
      </w:r>
      <w:r w:rsidR="00E13262">
        <w:rPr>
          <w:i/>
          <w:iCs/>
        </w:rPr>
        <w:t>Id.</w:t>
      </w:r>
      <w:r w:rsidR="00E13262">
        <w:t xml:space="preserve"> at 2. Patients take higher and higher doses of fentanyl to avoid these painful withdrawal symptoms. </w:t>
      </w:r>
      <w:r w:rsidR="00E13262">
        <w:rPr>
          <w:i/>
          <w:iCs/>
        </w:rPr>
        <w:t>Id.</w:t>
      </w:r>
      <w:r w:rsidR="00E13262">
        <w:t xml:space="preserve"> The quantity of fentanyl in each pill varies considerably and can also affect how many ills a person takes each day. </w:t>
      </w:r>
      <w:r w:rsidR="00E13262">
        <w:rPr>
          <w:i/>
          <w:iCs/>
        </w:rPr>
        <w:t>Id.</w:t>
      </w:r>
    </w:p>
    <w:p w14:paraId="38CA23AE" w14:textId="77777777" w:rsidR="002D79CF" w:rsidRPr="00EF6168" w:rsidRDefault="0096300D" w:rsidP="00E97A07">
      <w:pPr>
        <w:ind w:firstLine="720"/>
      </w:pPr>
      <w:r w:rsidRPr="00EF6168">
        <w:t xml:space="preserve">People with </w:t>
      </w:r>
      <w:r w:rsidR="00E97A07" w:rsidRPr="00EF6168">
        <w:t xml:space="preserve">severe </w:t>
      </w:r>
      <w:r w:rsidRPr="00EF6168">
        <w:t>methamphetamine use disorder</w:t>
      </w:r>
      <w:r w:rsidR="00E97A07" w:rsidRPr="00EF6168">
        <w:t xml:space="preserve"> use a gram or more a day. </w:t>
      </w:r>
      <w:r w:rsidR="00E97A07" w:rsidRPr="00EF6168">
        <w:rPr>
          <w:i/>
          <w:iCs/>
        </w:rPr>
        <w:t xml:space="preserve">See </w:t>
      </w:r>
      <w:r w:rsidR="00E97A07" w:rsidRPr="00EF6168">
        <w:t xml:space="preserve">John C. Kramer, Vitezslav S. Fischman, and Don C. Littlefield, </w:t>
      </w:r>
      <w:r w:rsidR="00E97A07" w:rsidRPr="00EF6168">
        <w:rPr>
          <w:i/>
        </w:rPr>
        <w:t>Amphetamine Abuse: Pattern and Effects of High Doses Taken Intravenously</w:t>
      </w:r>
      <w:r w:rsidR="00E97A07" w:rsidRPr="00EF6168">
        <w:t xml:space="preserve">, 201 </w:t>
      </w:r>
      <w:r w:rsidR="00E97A07" w:rsidRPr="00EF6168">
        <w:rPr>
          <w:smallCaps/>
        </w:rPr>
        <w:t>J. Am. Med. Ass’n</w:t>
      </w:r>
      <w:r w:rsidR="00E97A07" w:rsidRPr="00EF6168">
        <w:t xml:space="preserve"> 305, 306 (1967), available at </w:t>
      </w:r>
      <w:hyperlink r:id="rId9" w:history="1">
        <w:r w:rsidR="00E97A07" w:rsidRPr="00EF6168">
          <w:rPr>
            <w:rStyle w:val="Hyperlink"/>
            <w:color w:val="auto"/>
          </w:rPr>
          <w:t>https://perma.cc/EBE5-LSA6</w:t>
        </w:r>
      </w:hyperlink>
      <w:r w:rsidR="00E97A07" w:rsidRPr="00EF6168">
        <w:t>. U</w:t>
      </w:r>
      <w:r w:rsidR="002D79CF" w:rsidRPr="00EF6168">
        <w:t>sers’ tolerance increases substantially over time</w:t>
      </w:r>
      <w:r w:rsidR="00E97A07" w:rsidRPr="00EF6168">
        <w:t>. According to one study, t</w:t>
      </w:r>
      <w:r w:rsidR="002D79CF" w:rsidRPr="00EF6168">
        <w:t xml:space="preserve">he highest maximum dose reported is in excess of 1 gr[am] taken every two hours, probably close to 15,000 mg [15g] in one day.” </w:t>
      </w:r>
      <w:r w:rsidR="002D79CF" w:rsidRPr="00EF6168">
        <w:rPr>
          <w:i/>
        </w:rPr>
        <w:t>Id.</w:t>
      </w:r>
      <w:r w:rsidR="00E97A07" w:rsidRPr="00EF6168">
        <w:t xml:space="preserve"> </w:t>
      </w:r>
      <w:r w:rsidR="002D79CF" w:rsidRPr="00EF6168">
        <w:t>Researchers at the Drug and Alcohol Rehabilitation Center surveyed over 2,000 current and former methamphetamine users and found that “almost 60% of respondents took 1</w:t>
      </w:r>
      <w:r w:rsidR="00E97A07" w:rsidRPr="00EF6168">
        <w:t>–</w:t>
      </w:r>
      <w:r w:rsidR="002D79CF" w:rsidRPr="00EF6168">
        <w:t xml:space="preserve">2 doses of meth in a 24-hour period, which generally covered their </w:t>
      </w:r>
      <w:r w:rsidR="002D79CF" w:rsidRPr="00EF6168">
        <w:lastRenderedPageBreak/>
        <w:t xml:space="preserve">time awake,” and “41% of respondents used more than 0.5 grams [in 24 hours], with 9% using over an entire gram of meth in 24 hours.” Melissa Carmona, </w:t>
      </w:r>
      <w:r w:rsidR="002D79CF" w:rsidRPr="00EF6168">
        <w:rPr>
          <w:i/>
        </w:rPr>
        <w:t>Study: 73% of Meth Users Are Multiplying Their Risk for Fatal Outcomes</w:t>
      </w:r>
      <w:r w:rsidR="002D79CF" w:rsidRPr="00EF6168">
        <w:t xml:space="preserve">, </w:t>
      </w:r>
      <w:r w:rsidR="00FC4EC7" w:rsidRPr="00EF6168">
        <w:t xml:space="preserve">The Recovery Village </w:t>
      </w:r>
      <w:r w:rsidR="002D79CF" w:rsidRPr="00EF6168">
        <w:t xml:space="preserve">(last updated May 26, 2022), </w:t>
      </w:r>
      <w:hyperlink r:id="rId10" w:history="1">
        <w:r w:rsidR="00E97A07" w:rsidRPr="00EF6168">
          <w:rPr>
            <w:rStyle w:val="Hyperlink"/>
            <w:color w:val="auto"/>
          </w:rPr>
          <w:t>https://perma.cc/85XU-ZRU4</w:t>
        </w:r>
      </w:hyperlink>
      <w:r w:rsidR="00E97A07" w:rsidRPr="00EF6168">
        <w:t>.</w:t>
      </w:r>
    </w:p>
    <w:p w14:paraId="3DC7A579" w14:textId="77777777" w:rsidR="002D79CF" w:rsidRPr="00EF6168" w:rsidRDefault="00E97A07" w:rsidP="00FC4EC7">
      <w:pPr>
        <w:ind w:firstLine="720"/>
      </w:pPr>
      <w:r w:rsidRPr="00EF6168">
        <w:t>Daily cocaine use similarly varies from person to person</w:t>
      </w:r>
      <w:r w:rsidR="009D090C" w:rsidRPr="00EF6168">
        <w:t xml:space="preserve"> and can be substantial</w:t>
      </w:r>
      <w:r w:rsidRPr="00EF6168">
        <w:t xml:space="preserve">. In one study, 27% of cocaine users reported using between 2.6 and 19 grams of cocaine daily, at least three or more days each week. Elizabeth K.C. Schwartz, et al., </w:t>
      </w:r>
      <w:r w:rsidRPr="00EF6168">
        <w:rPr>
          <w:i/>
          <w:iCs/>
        </w:rPr>
        <w:t>Cocaine Use Disorder (CUD): Current Clinical Perspectives</w:t>
      </w:r>
      <w:r w:rsidR="009D090C" w:rsidRPr="00EF6168">
        <w:t>, 13 Substance Abuse Rehab</w:t>
      </w:r>
      <w:r w:rsidR="00FC4EC7" w:rsidRPr="00EF6168">
        <w:t>.</w:t>
      </w:r>
      <w:r w:rsidR="009D090C" w:rsidRPr="00EF6168">
        <w:t xml:space="preserve"> 25–46 (2022), available at </w:t>
      </w:r>
      <w:hyperlink r:id="rId11" w:history="1">
        <w:r w:rsidR="000741F5" w:rsidRPr="00EF6168">
          <w:rPr>
            <w:rStyle w:val="Hyperlink"/>
            <w:color w:val="auto"/>
          </w:rPr>
          <w:t>https://perma.cc/E4SD-ALJ4</w:t>
        </w:r>
      </w:hyperlink>
      <w:r w:rsidR="000741F5" w:rsidRPr="00EF6168">
        <w:t xml:space="preserve">. </w:t>
      </w:r>
    </w:p>
    <w:p w14:paraId="2F23F5F0" w14:textId="77777777" w:rsidR="00FC4EC7" w:rsidRPr="00EF6168" w:rsidRDefault="00FC4EC7" w:rsidP="00FC4EC7">
      <w:pPr>
        <w:ind w:firstLine="720"/>
      </w:pPr>
      <w:r w:rsidRPr="00EF6168">
        <w:t xml:space="preserve">This Court should exclude Det. Attebury’s opinions about drug quantities entirely. In the alternative, the Court should hold a </w:t>
      </w:r>
      <w:r w:rsidRPr="00EF6168">
        <w:rPr>
          <w:i/>
          <w:iCs/>
        </w:rPr>
        <w:t>Daubert</w:t>
      </w:r>
      <w:r w:rsidRPr="00EF6168">
        <w:t xml:space="preserve"> hearing to get to the bottom of how Det. Attebury formed his opinions in any reliable way.</w:t>
      </w:r>
    </w:p>
    <w:p w14:paraId="119ED002" w14:textId="23C91AFC" w:rsidR="001E6BB6" w:rsidRPr="00EF6168" w:rsidRDefault="00034B6F" w:rsidP="001E6BB6">
      <w:pPr>
        <w:ind w:firstLine="720"/>
      </w:pPr>
      <w:r w:rsidRPr="00EF6168">
        <w:t>Moreover, Det. Attebury’s opinion that the quantities of drugs found are too large for a personal user to have i</w:t>
      </w:r>
      <w:r w:rsidR="00D83F35" w:rsidRPr="00EF6168">
        <w:t xml:space="preserve">s an impermissible opinion about </w:t>
      </w:r>
      <w:r w:rsidR="00315B38">
        <w:t xml:space="preserve">Mr. </w:t>
      </w:r>
      <w:r w:rsidR="00074C2F">
        <w:t>Doe</w:t>
      </w:r>
      <w:r w:rsidR="00315B38">
        <w:t>’s</w:t>
      </w:r>
      <w:r w:rsidR="00315B38" w:rsidRPr="00EF6168">
        <w:t xml:space="preserve"> </w:t>
      </w:r>
      <w:r w:rsidR="00D83F35" w:rsidRPr="00EF6168">
        <w:t xml:space="preserve">mental state that constitutes an element of the charged offense. </w:t>
      </w:r>
      <w:r w:rsidR="001E6BB6" w:rsidRPr="00EF6168">
        <w:rPr>
          <w:i/>
          <w:iCs/>
        </w:rPr>
        <w:t xml:space="preserve">See </w:t>
      </w:r>
      <w:r w:rsidR="001E6BB6" w:rsidRPr="00EF6168">
        <w:t xml:space="preserve">Fed. R. Evid. 704(b). </w:t>
      </w:r>
      <w:r w:rsidR="00D83F35" w:rsidRPr="00EF6168">
        <w:t xml:space="preserve">Specifically, Det. Attebury would be effectively telling the jury that Mr. </w:t>
      </w:r>
      <w:r w:rsidR="00074C2F">
        <w:t>Doe</w:t>
      </w:r>
      <w:r w:rsidR="00D83F35" w:rsidRPr="00EF6168">
        <w:t xml:space="preserve"> possessed the drugs with intent to sell them to others. </w:t>
      </w:r>
      <w:r w:rsidR="00D83F35" w:rsidRPr="00EF6168">
        <w:rPr>
          <w:i/>
          <w:iCs/>
        </w:rPr>
        <w:t xml:space="preserve">See </w:t>
      </w:r>
      <w:r w:rsidR="00D83F35" w:rsidRPr="00D83F35">
        <w:rPr>
          <w:i/>
          <w:iCs/>
          <w:bdr w:val="none" w:sz="0" w:space="0" w:color="auto" w:frame="1"/>
        </w:rPr>
        <w:t>United States v. Boyd</w:t>
      </w:r>
      <w:r w:rsidR="00D83F35" w:rsidRPr="00D83F35">
        <w:t>, 55 F.3d 667, 672 (D.C. Cir. 1995)</w:t>
      </w:r>
      <w:r w:rsidR="00D83F35" w:rsidRPr="00EF6168">
        <w:t xml:space="preserve"> (court erred by allowing an officer-expert to testify that 6.037 grams of crack/cocaine was consistent with distribution and not personal use).</w:t>
      </w:r>
      <w:r w:rsidR="00D83F35" w:rsidRPr="00EF6168">
        <w:rPr>
          <w:rStyle w:val="FootnoteReference"/>
        </w:rPr>
        <w:footnoteReference w:id="2"/>
      </w:r>
      <w:r w:rsidR="001E6BB6" w:rsidRPr="00EF6168">
        <w:t xml:space="preserve"> His opinion on this subject should therefore be excluded.</w:t>
      </w:r>
    </w:p>
    <w:p w14:paraId="149E8BB6" w14:textId="222E515B" w:rsidR="00D83F35" w:rsidRPr="00EF6168" w:rsidRDefault="001E6BB6" w:rsidP="001E6BB6">
      <w:pPr>
        <w:ind w:firstLine="720"/>
      </w:pPr>
      <w:r w:rsidRPr="00EF6168">
        <w:lastRenderedPageBreak/>
        <w:t>At best, there is a hearty debate about whether the drug</w:t>
      </w:r>
      <w:r w:rsidR="003F6567">
        <w:t xml:space="preserve"> quantitie</w:t>
      </w:r>
      <w:r w:rsidRPr="00EF6168">
        <w:t xml:space="preserve">s at issue here are more consistent with personal use or distribution. There is, however, significant risk a jury will give </w:t>
      </w:r>
      <w:r w:rsidR="003F6567">
        <w:t xml:space="preserve">undue weight </w:t>
      </w:r>
      <w:r w:rsidRPr="00EF6168">
        <w:t xml:space="preserve">Det. Attebury’s opinion about </w:t>
      </w:r>
      <w:r w:rsidR="003F6567">
        <w:t>the subject</w:t>
      </w:r>
      <w:r w:rsidRPr="00EF6168">
        <w:t xml:space="preserve">. The value of his opinion is more prejudicial than probative, and therefore should be excluded for that reason, as well. </w:t>
      </w:r>
      <w:r w:rsidRPr="00EF6168">
        <w:rPr>
          <w:i/>
          <w:iCs/>
        </w:rPr>
        <w:t xml:space="preserve">See </w:t>
      </w:r>
      <w:r w:rsidRPr="00EF6168">
        <w:t>Fed. R. Evid. 403.</w:t>
      </w:r>
    </w:p>
    <w:p w14:paraId="21627453" w14:textId="77777777" w:rsidR="00D72B68" w:rsidRPr="00EF6168" w:rsidRDefault="00D72B68" w:rsidP="00D72B68">
      <w:pPr>
        <w:numPr>
          <w:ilvl w:val="0"/>
          <w:numId w:val="14"/>
        </w:numPr>
        <w:rPr>
          <w:b/>
          <w:bCs/>
        </w:rPr>
      </w:pPr>
      <w:r w:rsidRPr="00EF6168">
        <w:rPr>
          <w:b/>
          <w:bCs/>
        </w:rPr>
        <w:t xml:space="preserve">Drugs and Guns </w:t>
      </w:r>
    </w:p>
    <w:p w14:paraId="59155843" w14:textId="77777777" w:rsidR="00CB4A35" w:rsidRPr="00EF6168" w:rsidRDefault="00B0594D" w:rsidP="00CB4A35">
      <w:pPr>
        <w:ind w:firstLine="720"/>
        <w:rPr>
          <w:i/>
          <w:iCs/>
        </w:rPr>
      </w:pPr>
      <w:r w:rsidRPr="00EF6168">
        <w:t>The government intends to have Det. Attebury testify that drug traffickers typically possess firearms and ammunition. Ex. 1.</w:t>
      </w:r>
      <w:r w:rsidR="00A71990" w:rsidRPr="00EF6168">
        <w:t xml:space="preserve"> </w:t>
      </w:r>
      <w:r w:rsidR="0081326F" w:rsidRPr="00EF6168">
        <w:t xml:space="preserve">Det. Attebury should not be permitted to </w:t>
      </w:r>
      <w:r w:rsidRPr="00EF6168">
        <w:t xml:space="preserve">offer this opinion, which is </w:t>
      </w:r>
      <w:r w:rsidR="0081326F" w:rsidRPr="00EF6168">
        <w:t xml:space="preserve">not the product of </w:t>
      </w:r>
      <w:r w:rsidR="00A71990" w:rsidRPr="00EF6168">
        <w:t xml:space="preserve">sufficient facts or data or </w:t>
      </w:r>
      <w:r w:rsidR="0081326F" w:rsidRPr="00EF6168">
        <w:t xml:space="preserve">reliable </w:t>
      </w:r>
      <w:r w:rsidR="00A71990" w:rsidRPr="00EF6168">
        <w:t>principles or methods</w:t>
      </w:r>
      <w:r w:rsidR="0081326F" w:rsidRPr="00EF6168">
        <w:t xml:space="preserve">. </w:t>
      </w:r>
      <w:r w:rsidR="0081326F" w:rsidRPr="00EF6168">
        <w:rPr>
          <w:i/>
          <w:iCs/>
        </w:rPr>
        <w:t xml:space="preserve">See </w:t>
      </w:r>
      <w:r w:rsidR="0081326F" w:rsidRPr="00EF6168">
        <w:t>Fed. R. Evid. 702(</w:t>
      </w:r>
      <w:r w:rsidR="00A71990" w:rsidRPr="00EF6168">
        <w:t>b</w:t>
      </w:r>
      <w:r w:rsidR="0081326F" w:rsidRPr="00EF6168">
        <w:t>)</w:t>
      </w:r>
      <w:r w:rsidR="00A71990" w:rsidRPr="00EF6168">
        <w:t xml:space="preserve">–(c); </w:t>
      </w:r>
      <w:r w:rsidR="00A71990" w:rsidRPr="00EF6168">
        <w:rPr>
          <w:i/>
          <w:iCs/>
          <w:bdr w:val="none" w:sz="0" w:space="0" w:color="auto" w:frame="1"/>
        </w:rPr>
        <w:t>Valencia-Lopez</w:t>
      </w:r>
      <w:r w:rsidR="00A71990" w:rsidRPr="00EF6168">
        <w:t xml:space="preserve">, 971 F.3d at 901. In </w:t>
      </w:r>
      <w:r w:rsidR="00A71990" w:rsidRPr="00EF6168">
        <w:rPr>
          <w:i/>
          <w:iCs/>
        </w:rPr>
        <w:t>Valencia-Lopez</w:t>
      </w:r>
      <w:r w:rsidR="00A71990" w:rsidRPr="00EF6168">
        <w:t xml:space="preserve">, an agent testified as an expert that “the probability of coercion by drug trafficking organizations was ‘almost nil.’” </w:t>
      </w:r>
      <w:r w:rsidR="00A71990" w:rsidRPr="00EF6168">
        <w:rPr>
          <w:i/>
          <w:iCs/>
        </w:rPr>
        <w:t>Id.</w:t>
      </w:r>
      <w:r w:rsidR="00A71990" w:rsidRPr="00EF6168">
        <w:t xml:space="preserve"> He </w:t>
      </w:r>
      <w:r w:rsidR="00CB4A35" w:rsidRPr="00EF6168">
        <w:t xml:space="preserve">never explained how his expertise lent itself to that conclusion or the methods and principles he reliably applied to offer that opinion. </w:t>
      </w:r>
      <w:r w:rsidR="00CB4A35" w:rsidRPr="00EF6168">
        <w:rPr>
          <w:i/>
          <w:iCs/>
        </w:rPr>
        <w:t xml:space="preserve">Id. </w:t>
      </w:r>
    </w:p>
    <w:p w14:paraId="22E7E074" w14:textId="77777777" w:rsidR="00A71990" w:rsidRPr="00EF6168" w:rsidRDefault="0081326F" w:rsidP="00CB4A35">
      <w:pPr>
        <w:ind w:firstLine="720"/>
      </w:pPr>
      <w:r w:rsidRPr="00EF6168">
        <w:t xml:space="preserve">The Court should </w:t>
      </w:r>
      <w:r w:rsidR="00FC4EC7" w:rsidRPr="00EF6168">
        <w:t>h</w:t>
      </w:r>
      <w:r w:rsidRPr="00EF6168">
        <w:t xml:space="preserve">old a </w:t>
      </w:r>
      <w:r w:rsidRPr="00EF6168">
        <w:rPr>
          <w:i/>
          <w:iCs/>
        </w:rPr>
        <w:t>Daubert</w:t>
      </w:r>
      <w:r w:rsidRPr="00EF6168">
        <w:t xml:space="preserve"> hearing or at least permit voir dire about his methods before permitting the jury to listen to this testimony. </w:t>
      </w:r>
      <w:r w:rsidR="00CB4A35" w:rsidRPr="00EF6168">
        <w:t xml:space="preserve">Det. Attebury’s disclosure letter does not identify this information, and a person’s experience as a police officer alone is not sufficient to satisfy Rule 702’s requirements; his experience alone “cannot establish the reliability and thus admissibility of the expert testimony at issue.” </w:t>
      </w:r>
      <w:r w:rsidR="00CB4A35" w:rsidRPr="00EF6168">
        <w:rPr>
          <w:i/>
          <w:iCs/>
          <w:bdr w:val="none" w:sz="0" w:space="0" w:color="auto" w:frame="1"/>
        </w:rPr>
        <w:t>Valencia-Lopez</w:t>
      </w:r>
      <w:r w:rsidR="00CB4A35" w:rsidRPr="00EF6168">
        <w:t>, 971 F.3d at 900.</w:t>
      </w:r>
    </w:p>
    <w:p w14:paraId="349A7B03" w14:textId="77777777" w:rsidR="00CB4A35" w:rsidRPr="00EF6168" w:rsidRDefault="00CB4A35" w:rsidP="00CB4A35">
      <w:pPr>
        <w:ind w:firstLine="720"/>
      </w:pPr>
      <w:r w:rsidRPr="00EF6168">
        <w:t xml:space="preserve">Det. Attebury’s expected testimony about the ubiquity of drug traffickers having firearms during drug sales is not supported by data. In fiscal year 2023, no weapon was involved in 71.6% of federal drug trafficking cases. U.S. Sent’g Comm’n, </w:t>
      </w:r>
      <w:r w:rsidRPr="00EF6168">
        <w:rPr>
          <w:i/>
          <w:iCs/>
        </w:rPr>
        <w:t>2023 Sourcebook of Federal Sentencing Statistics</w:t>
      </w:r>
      <w:r w:rsidRPr="00EF6168">
        <w:t xml:space="preserve">, Table D-8, available at </w:t>
      </w:r>
      <w:hyperlink r:id="rId12" w:history="1">
        <w:r w:rsidRPr="00EF6168">
          <w:rPr>
            <w:rStyle w:val="Hyperlink"/>
            <w:color w:val="auto"/>
          </w:rPr>
          <w:t>https://perma.cc/ZJT7-LCF4</w:t>
        </w:r>
      </w:hyperlink>
      <w:r w:rsidRPr="00EF6168">
        <w:t xml:space="preserve">. In 92.4% of federal drug trafficking cases, the mandatory </w:t>
      </w:r>
      <w:r w:rsidRPr="00EF6168">
        <w:lastRenderedPageBreak/>
        <w:t xml:space="preserve">minimum under 18 U.S.C. §§ 924(c) and (e) did not apply. </w:t>
      </w:r>
      <w:r w:rsidRPr="00EF6168">
        <w:rPr>
          <w:i/>
          <w:iCs/>
        </w:rPr>
        <w:t>Id.</w:t>
      </w:r>
      <w:r w:rsidRPr="00EF6168">
        <w:t xml:space="preserve">, Table F-2, available at </w:t>
      </w:r>
      <w:hyperlink r:id="rId13" w:history="1">
        <w:r w:rsidRPr="00EF6168">
          <w:rPr>
            <w:rStyle w:val="Hyperlink"/>
            <w:color w:val="auto"/>
          </w:rPr>
          <w:t>https://perma.cc/X4C7-2XSW</w:t>
        </w:r>
      </w:hyperlink>
      <w:r w:rsidRPr="00EF6168">
        <w:t xml:space="preserve">. </w:t>
      </w:r>
      <w:r w:rsidR="001C093B" w:rsidRPr="00EF6168">
        <w:t>These findings have been consistent over the years:</w:t>
      </w:r>
    </w:p>
    <w:p w14:paraId="256DF6C3" w14:textId="77777777" w:rsidR="001C093B" w:rsidRPr="00EF6168" w:rsidRDefault="001C093B" w:rsidP="001C093B">
      <w:pPr>
        <w:numPr>
          <w:ilvl w:val="0"/>
          <w:numId w:val="17"/>
        </w:numPr>
      </w:pPr>
      <w:r w:rsidRPr="00EF6168">
        <w:rPr>
          <w:b/>
          <w:bCs/>
          <w:u w:val="single"/>
        </w:rPr>
        <w:t>2022:</w:t>
      </w:r>
      <w:r w:rsidRPr="00EF6168">
        <w:t xml:space="preserve"> 73.9% of drug-trafficking offenses did not involve a weapon, U.S. Sent’g Comm’n, </w:t>
      </w:r>
      <w:r w:rsidRPr="00EF6168">
        <w:rPr>
          <w:i/>
          <w:iCs/>
        </w:rPr>
        <w:t>2022 Sourcebook of Federal Sentencing Statistics</w:t>
      </w:r>
      <w:r w:rsidRPr="00EF6168">
        <w:t xml:space="preserve">, Table D-8, available at </w:t>
      </w:r>
      <w:hyperlink r:id="rId14" w:history="1">
        <w:r w:rsidRPr="00EF6168">
          <w:rPr>
            <w:rStyle w:val="Hyperlink"/>
            <w:color w:val="auto"/>
          </w:rPr>
          <w:t>https://perma.cc/S4U3-VS3R</w:t>
        </w:r>
      </w:hyperlink>
    </w:p>
    <w:p w14:paraId="06A0540F" w14:textId="77777777" w:rsidR="001C093B" w:rsidRPr="00EF6168" w:rsidRDefault="001C093B" w:rsidP="001C093B">
      <w:pPr>
        <w:numPr>
          <w:ilvl w:val="0"/>
          <w:numId w:val="17"/>
        </w:numPr>
      </w:pPr>
      <w:r w:rsidRPr="00EF6168">
        <w:rPr>
          <w:b/>
          <w:bCs/>
          <w:u w:val="single"/>
        </w:rPr>
        <w:t>2021:</w:t>
      </w:r>
      <w:r w:rsidRPr="00EF6168">
        <w:t xml:space="preserve"> 76.1%  of drug-trafficking offenses did not involve a weapon, U.S. Sent’g Comm’n, </w:t>
      </w:r>
      <w:r w:rsidRPr="00EF6168">
        <w:rPr>
          <w:i/>
          <w:iCs/>
        </w:rPr>
        <w:t>2021 Sourcebook of Federal Sentencing Statistics</w:t>
      </w:r>
      <w:r w:rsidRPr="00EF6168">
        <w:t xml:space="preserve">, Table D-8, available at </w:t>
      </w:r>
      <w:hyperlink r:id="rId15" w:history="1">
        <w:r w:rsidRPr="00EF6168">
          <w:rPr>
            <w:rStyle w:val="Hyperlink"/>
            <w:color w:val="auto"/>
          </w:rPr>
          <w:t>https://perma.cc/C8TF-4VJW</w:t>
        </w:r>
      </w:hyperlink>
      <w:r w:rsidR="00034B6F" w:rsidRPr="00EF6168">
        <w:t>;</w:t>
      </w:r>
    </w:p>
    <w:p w14:paraId="4FC58649" w14:textId="77777777" w:rsidR="001C093B" w:rsidRPr="00EF6168" w:rsidRDefault="001C093B" w:rsidP="001C093B">
      <w:pPr>
        <w:numPr>
          <w:ilvl w:val="0"/>
          <w:numId w:val="17"/>
        </w:numPr>
      </w:pPr>
      <w:r w:rsidRPr="00EF6168">
        <w:rPr>
          <w:b/>
          <w:bCs/>
          <w:u w:val="single"/>
        </w:rPr>
        <w:t>2020:</w:t>
      </w:r>
      <w:r w:rsidRPr="00EF6168">
        <w:t xml:space="preserve"> 75.2% of drug trafficking offenses did not involve a weapon, U.S. Sent’g Common’, </w:t>
      </w:r>
      <w:r w:rsidRPr="00EF6168">
        <w:rPr>
          <w:i/>
          <w:iCs/>
        </w:rPr>
        <w:t>2020 Sourcebook of Federal Sentencing Statistics</w:t>
      </w:r>
      <w:r w:rsidRPr="00EF6168">
        <w:t xml:space="preserve">, Table D-8, available at </w:t>
      </w:r>
      <w:hyperlink r:id="rId16" w:history="1">
        <w:r w:rsidRPr="00EF6168">
          <w:rPr>
            <w:rStyle w:val="Hyperlink"/>
            <w:color w:val="auto"/>
          </w:rPr>
          <w:t>https://perma.cc/47UJ-37QC</w:t>
        </w:r>
      </w:hyperlink>
      <w:r w:rsidR="00034B6F" w:rsidRPr="00EF6168">
        <w:t>;</w:t>
      </w:r>
    </w:p>
    <w:p w14:paraId="67BD7941" w14:textId="77777777" w:rsidR="001C093B" w:rsidRPr="00EF6168" w:rsidRDefault="00034B6F" w:rsidP="001C093B">
      <w:pPr>
        <w:numPr>
          <w:ilvl w:val="0"/>
          <w:numId w:val="17"/>
        </w:numPr>
      </w:pPr>
      <w:r w:rsidRPr="00EF6168">
        <w:rPr>
          <w:b/>
          <w:bCs/>
          <w:u w:val="single"/>
        </w:rPr>
        <w:t>2019:</w:t>
      </w:r>
      <w:r w:rsidRPr="00EF6168">
        <w:t xml:space="preserve"> 76.4% of federal drug trafficking offenses did not involve a weapon, </w:t>
      </w:r>
      <w:r w:rsidRPr="00EF6168">
        <w:rPr>
          <w:i/>
          <w:iCs/>
        </w:rPr>
        <w:t>2019 Sourcebook of Federal Sentencing Statistics</w:t>
      </w:r>
      <w:r w:rsidRPr="00EF6168">
        <w:t xml:space="preserve">, Table D-8, available at </w:t>
      </w:r>
      <w:hyperlink r:id="rId17" w:history="1">
        <w:r w:rsidRPr="00EF6168">
          <w:rPr>
            <w:rStyle w:val="Hyperlink"/>
            <w:color w:val="auto"/>
          </w:rPr>
          <w:t>https://perma.cc/Y88K-CGPB</w:t>
        </w:r>
      </w:hyperlink>
      <w:r w:rsidRPr="00EF6168">
        <w:t xml:space="preserve">. </w:t>
      </w:r>
    </w:p>
    <w:p w14:paraId="6AE1B18A" w14:textId="77777777" w:rsidR="00034B6F" w:rsidRPr="00EF6168" w:rsidRDefault="00034B6F" w:rsidP="0081326F">
      <w:pPr>
        <w:ind w:firstLine="720"/>
      </w:pPr>
      <w:r w:rsidRPr="00EF6168">
        <w:t>These data show that drug traffickers did not have firearms in the majority of federal cases in the United States. Det. Attebury’s opinion to the contrary appears not to be based on facts or data.</w:t>
      </w:r>
    </w:p>
    <w:p w14:paraId="6F64EFCB" w14:textId="71273CB8" w:rsidR="0081326F" w:rsidRPr="00E13262" w:rsidRDefault="00034B6F" w:rsidP="00E13262">
      <w:pPr>
        <w:ind w:firstLine="720"/>
      </w:pPr>
      <w:r w:rsidRPr="00EF6168">
        <w:t>Det. Attebury’s</w:t>
      </w:r>
      <w:r w:rsidR="0081326F" w:rsidRPr="00EF6168">
        <w:t xml:space="preserve"> proposed </w:t>
      </w:r>
      <w:r w:rsidR="001E6BB6" w:rsidRPr="00EF6168">
        <w:t>testimony</w:t>
      </w:r>
      <w:r w:rsidR="0081326F" w:rsidRPr="00EF6168">
        <w:t xml:space="preserve"> </w:t>
      </w:r>
      <w:r w:rsidR="001E6BB6" w:rsidRPr="00EF6168">
        <w:t>is effectively an opinion about</w:t>
      </w:r>
      <w:r w:rsidR="00D83F35" w:rsidRPr="00EF6168">
        <w:t xml:space="preserve"> a</w:t>
      </w:r>
      <w:r w:rsidR="001E6BB6" w:rsidRPr="00EF6168">
        <w:t xml:space="preserve"> mental state that is an </w:t>
      </w:r>
      <w:r w:rsidR="00D83F35" w:rsidRPr="00EF6168">
        <w:t>element of the offense</w:t>
      </w:r>
      <w:r w:rsidR="0081326F" w:rsidRPr="00EF6168">
        <w:t xml:space="preserve">: whether </w:t>
      </w:r>
      <w:r w:rsidR="001E6BB6" w:rsidRPr="00EF6168">
        <w:t xml:space="preserve">Mr. </w:t>
      </w:r>
      <w:r w:rsidR="00074C2F">
        <w:t>Doe</w:t>
      </w:r>
      <w:r w:rsidR="0081326F" w:rsidRPr="00EF6168">
        <w:t xml:space="preserve"> had the firearm for the purpose of facilitating drug trafficking instead of some other purpose. </w:t>
      </w:r>
      <w:r w:rsidR="0081326F" w:rsidRPr="00EF6168">
        <w:rPr>
          <w:i/>
          <w:iCs/>
        </w:rPr>
        <w:t xml:space="preserve">See </w:t>
      </w:r>
      <w:r w:rsidR="0081326F" w:rsidRPr="00EF6168">
        <w:t>Fed. R. Evid. 704(b).</w:t>
      </w:r>
      <w:r w:rsidR="001E6BB6" w:rsidRPr="00EF6168">
        <w:t xml:space="preserve"> He should not be permitted to offer an opinion about the reasons the firearm was in the backpack. That is for the jury alone to decide. </w:t>
      </w:r>
      <w:r w:rsidR="001E6BB6" w:rsidRPr="00EF6168">
        <w:rPr>
          <w:i/>
          <w:iCs/>
        </w:rPr>
        <w:t xml:space="preserve">See </w:t>
      </w:r>
      <w:r w:rsidR="001E6BB6" w:rsidRPr="00EF6168">
        <w:t>Fed. R. Evid. 702(a), 704(b); 403.</w:t>
      </w:r>
    </w:p>
    <w:p w14:paraId="0E5037E9" w14:textId="77777777" w:rsidR="00EE52FA" w:rsidRDefault="00EE52FA" w:rsidP="00EE52FA">
      <w:pPr>
        <w:numPr>
          <w:ilvl w:val="0"/>
          <w:numId w:val="12"/>
        </w:numPr>
        <w:rPr>
          <w:b/>
          <w:bCs/>
        </w:rPr>
      </w:pPr>
      <w:r w:rsidRPr="00EF6168">
        <w:rPr>
          <w:b/>
          <w:bCs/>
        </w:rPr>
        <w:t>CONCLUSION</w:t>
      </w:r>
    </w:p>
    <w:p w14:paraId="367D8E2F" w14:textId="624AB602" w:rsidR="00E13262" w:rsidRPr="00E13262" w:rsidRDefault="00E13262" w:rsidP="00E13262">
      <w:pPr>
        <w:ind w:firstLine="720"/>
      </w:pPr>
      <w:r>
        <w:t xml:space="preserve">The bulk—if not all—of Det. Atttebury’s testimony is impermissible under Rules 401, 403, 702, and 704. His testimony should accordingly be excluded, or at the very least limited substantially. Before permitting him to testify about how possession </w:t>
      </w:r>
      <w:r>
        <w:lastRenderedPageBreak/>
        <w:t xml:space="preserve">quantities of certain substances and firearms is consistent with drug trafficking, the Court should hold a </w:t>
      </w:r>
      <w:r>
        <w:rPr>
          <w:i/>
          <w:iCs/>
        </w:rPr>
        <w:t>Daubert</w:t>
      </w:r>
      <w:r>
        <w:t xml:space="preserve"> hearing to determine how Det. Attebury can possibly </w:t>
      </w:r>
      <w:bookmarkStart w:id="0" w:name="_GoBack"/>
      <w:bookmarkEnd w:id="0"/>
      <w:r>
        <w:t xml:space="preserve">rely on his experience based on sufficient data or reliable methods.  </w:t>
      </w:r>
    </w:p>
    <w:p w14:paraId="09C45ED2" w14:textId="77777777" w:rsidR="00ED4F64" w:rsidRPr="00EF6168" w:rsidRDefault="00ED4F64" w:rsidP="00CC6FC5">
      <w:r w:rsidRPr="00EF6168">
        <w:tab/>
        <w:t>DATED this ___ day of ___________ 20</w:t>
      </w:r>
      <w:r w:rsidR="00C52F40" w:rsidRPr="00EF6168">
        <w:t>__.</w:t>
      </w:r>
    </w:p>
    <w:p w14:paraId="4D76452D" w14:textId="77777777" w:rsidR="00ED4F64" w:rsidRPr="00EF6168" w:rsidRDefault="00ED4F64" w:rsidP="00C52F40">
      <w:r w:rsidRPr="00EF6168">
        <w:tab/>
      </w:r>
      <w:r w:rsidR="00C52F40" w:rsidRPr="00EF6168">
        <w:tab/>
      </w:r>
      <w:r w:rsidR="00C52F40" w:rsidRPr="00EF6168">
        <w:tab/>
      </w:r>
      <w:r w:rsidR="00C52F40" w:rsidRPr="00EF6168">
        <w:tab/>
      </w:r>
      <w:r w:rsidR="00C52F40" w:rsidRPr="00EF6168">
        <w:tab/>
      </w:r>
      <w:r w:rsidR="00C52F40" w:rsidRPr="00EF6168">
        <w:tab/>
      </w:r>
      <w:r w:rsidRPr="00EF6168">
        <w:t>Respectfully submitted,</w:t>
      </w:r>
    </w:p>
    <w:p w14:paraId="4D48B39A" w14:textId="77777777" w:rsidR="00C52F40" w:rsidRPr="00EF6168" w:rsidRDefault="00C52F40" w:rsidP="00C52F40">
      <w:pPr>
        <w:spacing w:line="240" w:lineRule="auto"/>
      </w:pPr>
    </w:p>
    <w:p w14:paraId="791EF621" w14:textId="23207813" w:rsidR="00ED4F64" w:rsidRPr="00EF6168" w:rsidRDefault="00ED4F64" w:rsidP="00C52F40">
      <w:pPr>
        <w:spacing w:line="240" w:lineRule="auto"/>
        <w:rPr>
          <w:i/>
        </w:rPr>
      </w:pPr>
      <w:r w:rsidRPr="00EF6168">
        <w:tab/>
      </w:r>
      <w:r w:rsidR="00C52F40" w:rsidRPr="00EF6168">
        <w:tab/>
      </w:r>
      <w:r w:rsidR="00C52F40" w:rsidRPr="00EF6168">
        <w:tab/>
      </w:r>
      <w:r w:rsidR="00C52F40" w:rsidRPr="00EF6168">
        <w:tab/>
      </w:r>
      <w:r w:rsidR="00C52F40" w:rsidRPr="00EF6168">
        <w:tab/>
      </w:r>
      <w:r w:rsidR="00C52F40" w:rsidRPr="00EF6168">
        <w:tab/>
      </w:r>
      <w:r w:rsidRPr="00EF6168">
        <w:t xml:space="preserve">s/ </w:t>
      </w:r>
      <w:r w:rsidR="00074C2F">
        <w:rPr>
          <w:i/>
        </w:rPr>
        <w:t>Colleen P. Fitzharris</w:t>
      </w:r>
    </w:p>
    <w:p w14:paraId="33D5525D" w14:textId="77777777" w:rsidR="00ED4F64" w:rsidRPr="00EF6168" w:rsidRDefault="00ED4F64" w:rsidP="00C52F40">
      <w:pPr>
        <w:spacing w:line="240" w:lineRule="auto"/>
      </w:pPr>
      <w:r w:rsidRPr="00EF6168">
        <w:tab/>
      </w:r>
      <w:r w:rsidR="00C52F40" w:rsidRPr="00EF6168">
        <w:tab/>
      </w:r>
      <w:r w:rsidR="00C52F40" w:rsidRPr="00EF6168">
        <w:tab/>
      </w:r>
      <w:r w:rsidR="00C52F40" w:rsidRPr="00EF6168">
        <w:tab/>
      </w:r>
      <w:r w:rsidR="00C52F40" w:rsidRPr="00EF6168">
        <w:tab/>
      </w:r>
      <w:r w:rsidR="00C52F40" w:rsidRPr="00EF6168">
        <w:tab/>
      </w:r>
      <w:r w:rsidRPr="00EF6168">
        <w:t>Assistant Federal Pu</w:t>
      </w:r>
      <w:r w:rsidR="00C52F40" w:rsidRPr="00EF6168">
        <w:t>blic Defender</w:t>
      </w:r>
    </w:p>
    <w:p w14:paraId="19C595BA" w14:textId="75ED230B" w:rsidR="00BB1E06" w:rsidRPr="00EF6168" w:rsidRDefault="00ED4F64" w:rsidP="00C52F40">
      <w:pPr>
        <w:spacing w:line="240" w:lineRule="auto"/>
      </w:pPr>
      <w:r w:rsidRPr="00EF6168">
        <w:tab/>
      </w:r>
      <w:r w:rsidR="00C52F40" w:rsidRPr="00EF6168">
        <w:tab/>
      </w:r>
      <w:r w:rsidR="00C52F40" w:rsidRPr="00EF6168">
        <w:tab/>
      </w:r>
      <w:r w:rsidR="00C52F40" w:rsidRPr="00EF6168">
        <w:tab/>
      </w:r>
      <w:r w:rsidR="00C52F40" w:rsidRPr="00EF6168">
        <w:tab/>
      </w:r>
      <w:r w:rsidR="00C52F40" w:rsidRPr="00EF6168">
        <w:tab/>
      </w:r>
      <w:r w:rsidRPr="00EF6168">
        <w:t xml:space="preserve">Attorney for </w:t>
      </w:r>
      <w:r w:rsidR="00074C2F">
        <w:t>John</w:t>
      </w:r>
      <w:r w:rsidR="003C5C97" w:rsidRPr="00EF6168">
        <w:t xml:space="preserve"> </w:t>
      </w:r>
      <w:r w:rsidR="00074C2F">
        <w:t>Doe</w:t>
      </w:r>
    </w:p>
    <w:p w14:paraId="4C0DAF2D" w14:textId="77777777" w:rsidR="00C52F40" w:rsidRPr="00EF6168" w:rsidRDefault="00C52F40" w:rsidP="00C52F40">
      <w:pPr>
        <w:spacing w:line="240" w:lineRule="auto"/>
      </w:pPr>
    </w:p>
    <w:sectPr w:rsidR="00C52F40" w:rsidRPr="00EF6168" w:rsidSect="00FC64DC">
      <w:headerReference w:type="default" r:id="rId18"/>
      <w:footerReference w:type="default" r:id="rId19"/>
      <w:type w:val="continuous"/>
      <w:pgSz w:w="12240" w:h="15840" w:code="1"/>
      <w:pgMar w:top="1440" w:right="1620" w:bottom="1440" w:left="1440" w:header="720"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DC8E1" w14:textId="77777777" w:rsidR="00071FE0" w:rsidRDefault="00071FE0" w:rsidP="00E20D73">
      <w:pPr>
        <w:spacing w:line="240" w:lineRule="auto"/>
      </w:pPr>
      <w:r>
        <w:separator/>
      </w:r>
    </w:p>
  </w:endnote>
  <w:endnote w:type="continuationSeparator" w:id="0">
    <w:p w14:paraId="44FB2FD7" w14:textId="77777777" w:rsidR="00071FE0" w:rsidRDefault="00071FE0" w:rsidP="00E20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15" w:type="dxa"/>
      <w:tblCellMar>
        <w:left w:w="115" w:type="dxa"/>
        <w:right w:w="230" w:type="dxa"/>
      </w:tblCellMar>
      <w:tblLook w:val="04A0" w:firstRow="1" w:lastRow="0" w:firstColumn="1" w:lastColumn="0" w:noHBand="0" w:noVBand="1"/>
    </w:tblPr>
    <w:tblGrid>
      <w:gridCol w:w="4479"/>
      <w:gridCol w:w="4586"/>
    </w:tblGrid>
    <w:tr w:rsidR="00071FE0" w14:paraId="2E2B773A" w14:textId="77777777" w:rsidTr="00485297">
      <w:trPr>
        <w:trHeight w:val="1033"/>
      </w:trPr>
      <w:tc>
        <w:tcPr>
          <w:tcW w:w="4583" w:type="dxa"/>
          <w:vAlign w:val="center"/>
        </w:tcPr>
        <w:p w14:paraId="42EA39BF" w14:textId="77777777" w:rsidR="00071FE0" w:rsidRDefault="00071FE0" w:rsidP="00485297">
          <w:pPr>
            <w:pStyle w:val="Footer"/>
          </w:pPr>
          <w:r>
            <w:t>MOTION TO EXCLUDE DET. ATTEBURY’S TESTIMONY</w:t>
          </w:r>
        </w:p>
        <w:p w14:paraId="2EB62AEE" w14:textId="50059E00" w:rsidR="00071FE0" w:rsidRPr="003E292D" w:rsidRDefault="00071FE0" w:rsidP="003C5C97">
          <w:pPr>
            <w:pStyle w:val="Footer"/>
            <w:rPr>
              <w:szCs w:val="22"/>
            </w:rPr>
          </w:pPr>
          <w:r>
            <w:t>(</w:t>
          </w:r>
          <w:r>
            <w:rPr>
              <w:i/>
            </w:rPr>
            <w:t xml:space="preserve">U.S. v. </w:t>
          </w:r>
          <w:r w:rsidR="00074C2F">
            <w:rPr>
              <w:i/>
            </w:rPr>
            <w:t>Doe</w:t>
          </w:r>
          <w:r>
            <w:t xml:space="preserve">, </w:t>
          </w:r>
          <w:r w:rsidR="00074C2F">
            <w:t xml:space="preserve">No. </w:t>
          </w:r>
          <w:r>
            <w:t xml:space="preserve">) - </w:t>
          </w:r>
          <w:r>
            <w:fldChar w:fldCharType="begin"/>
          </w:r>
          <w:r>
            <w:instrText xml:space="preserve"> PAGE   \* MERGEFORMAT </w:instrText>
          </w:r>
          <w:r>
            <w:fldChar w:fldCharType="separate"/>
          </w:r>
          <w:r>
            <w:rPr>
              <w:noProof/>
            </w:rPr>
            <w:t>1</w:t>
          </w:r>
          <w:r>
            <w:rPr>
              <w:noProof/>
            </w:rPr>
            <w:fldChar w:fldCharType="end"/>
          </w:r>
        </w:p>
      </w:tc>
      <w:tc>
        <w:tcPr>
          <w:tcW w:w="4698" w:type="dxa"/>
        </w:tcPr>
        <w:p w14:paraId="1D99BE6F" w14:textId="77777777" w:rsidR="00071FE0" w:rsidRPr="00FC64DC" w:rsidRDefault="00071FE0" w:rsidP="00485297">
          <w:pPr>
            <w:spacing w:line="240" w:lineRule="auto"/>
            <w:jc w:val="right"/>
            <w:rPr>
              <w:b/>
              <w:sz w:val="20"/>
            </w:rPr>
          </w:pPr>
          <w:r w:rsidRPr="003E292D">
            <w:rPr>
              <w:b/>
              <w:smallCaps/>
              <w:sz w:val="20"/>
            </w:rPr>
            <w:t>FEDERAL PUBLIC DEFENDER</w:t>
          </w:r>
          <w:r>
            <w:rPr>
              <w:b/>
              <w:sz w:val="20"/>
            </w:rPr>
            <w:br/>
            <w:t>1601 Fifth Avenue</w:t>
          </w:r>
          <w:r w:rsidRPr="002D5340">
            <w:rPr>
              <w:b/>
              <w:sz w:val="20"/>
            </w:rPr>
            <w:t>, Suite 700</w:t>
          </w:r>
          <w:r w:rsidRPr="002D5340">
            <w:rPr>
              <w:b/>
              <w:sz w:val="20"/>
            </w:rPr>
            <w:br/>
            <w:t>Seattle, Washington 98101</w:t>
          </w:r>
          <w:r w:rsidRPr="002D5340">
            <w:rPr>
              <w:b/>
              <w:sz w:val="20"/>
            </w:rPr>
            <w:br/>
            <w:t>(206) 553-1100</w:t>
          </w:r>
        </w:p>
      </w:tc>
    </w:tr>
  </w:tbl>
  <w:p w14:paraId="5489A9CF" w14:textId="77777777" w:rsidR="00071FE0" w:rsidRPr="000F66CA" w:rsidRDefault="00071FE0" w:rsidP="003E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E4AAB" w14:textId="77777777" w:rsidR="00071FE0" w:rsidRDefault="00071FE0" w:rsidP="00E20D73">
      <w:pPr>
        <w:spacing w:line="240" w:lineRule="auto"/>
      </w:pPr>
      <w:r>
        <w:separator/>
      </w:r>
    </w:p>
  </w:footnote>
  <w:footnote w:type="continuationSeparator" w:id="0">
    <w:p w14:paraId="70625FD5" w14:textId="77777777" w:rsidR="00071FE0" w:rsidRDefault="00071FE0" w:rsidP="00E20D73">
      <w:pPr>
        <w:spacing w:line="240" w:lineRule="auto"/>
      </w:pPr>
      <w:r>
        <w:continuationSeparator/>
      </w:r>
    </w:p>
  </w:footnote>
  <w:footnote w:id="1">
    <w:p w14:paraId="1EDA0282" w14:textId="77777777" w:rsidR="00EF6168" w:rsidRPr="00EF6168" w:rsidRDefault="00EF6168">
      <w:pPr>
        <w:pStyle w:val="FootnoteText"/>
      </w:pPr>
      <w:r>
        <w:rPr>
          <w:rStyle w:val="FootnoteReference"/>
        </w:rPr>
        <w:footnoteRef/>
      </w:r>
      <w:r>
        <w:t xml:space="preserve"> </w:t>
      </w:r>
      <w:r>
        <w:rPr>
          <w:i/>
          <w:iCs/>
        </w:rPr>
        <w:t xml:space="preserve">Compare </w:t>
      </w:r>
      <w:r w:rsidRPr="00EF6168">
        <w:rPr>
          <w:i/>
          <w:iCs/>
        </w:rPr>
        <w:t>Espinoza-Valdez</w:t>
      </w:r>
      <w:r w:rsidRPr="00EF6168">
        <w:t>, 889 F.3d at 657</w:t>
      </w:r>
      <w:r>
        <w:t>, with Ex. 1, Attebury Disclosure.</w:t>
      </w:r>
    </w:p>
  </w:footnote>
  <w:footnote w:id="2">
    <w:p w14:paraId="2C9EF584" w14:textId="65F3D0DF" w:rsidR="00D83F35" w:rsidRPr="00D83F35" w:rsidRDefault="00D83F35" w:rsidP="00D83F35">
      <w:pPr>
        <w:pStyle w:val="FootnoteText"/>
      </w:pPr>
      <w:r>
        <w:rPr>
          <w:rStyle w:val="FootnoteReference"/>
        </w:rPr>
        <w:footnoteRef/>
      </w:r>
      <w:r>
        <w:t xml:space="preserve"> Courts have struggled consistently to draw the line between permissible and impe</w:t>
      </w:r>
      <w:r w:rsidRPr="001E6BB6">
        <w:rPr>
          <w:szCs w:val="26"/>
        </w:rPr>
        <w:t xml:space="preserve">rmissible opinion testimony—particularly when agents and police officers testify as experts. </w:t>
      </w:r>
      <w:r w:rsidRPr="001E6BB6">
        <w:rPr>
          <w:i/>
          <w:iCs/>
          <w:szCs w:val="26"/>
        </w:rPr>
        <w:t xml:space="preserve">See generally </w:t>
      </w:r>
      <w:r w:rsidRPr="00D83F35">
        <w:rPr>
          <w:color w:val="000000"/>
          <w:szCs w:val="26"/>
        </w:rPr>
        <w:t>§ 6285 General Rule of Subdivision (b)—Expert Opinion Testimony as to Accused</w:t>
      </w:r>
      <w:r w:rsidR="001E6BB6">
        <w:rPr>
          <w:color w:val="000000"/>
          <w:szCs w:val="26"/>
        </w:rPr>
        <w:t>’</w:t>
      </w:r>
      <w:r w:rsidRPr="00D83F35">
        <w:rPr>
          <w:color w:val="000000"/>
          <w:szCs w:val="26"/>
        </w:rPr>
        <w:t>s Mental State or Condition, 29 Fed. Prac. &amp; Proc. Evid. §</w:t>
      </w:r>
      <w:r w:rsidR="00315B38">
        <w:rPr>
          <w:color w:val="000000"/>
          <w:szCs w:val="26"/>
        </w:rPr>
        <w:t> </w:t>
      </w:r>
      <w:r w:rsidRPr="00D83F35">
        <w:rPr>
          <w:color w:val="000000"/>
          <w:szCs w:val="26"/>
        </w:rPr>
        <w:t>6285 (2d ed.)</w:t>
      </w:r>
      <w:r w:rsidR="001E6BB6">
        <w:rPr>
          <w:color w:val="000000"/>
          <w:szCs w:val="26"/>
        </w:rPr>
        <w:t xml:space="preserve">. The Supreme Court is expected to offer some clarity in the coming months when it issues an opinion in </w:t>
      </w:r>
      <w:r w:rsidR="001E6BB6">
        <w:rPr>
          <w:i/>
          <w:iCs/>
          <w:color w:val="000000"/>
          <w:szCs w:val="26"/>
        </w:rPr>
        <w:t>Diaz v. United States</w:t>
      </w:r>
      <w:r w:rsidR="001E6BB6">
        <w:rPr>
          <w:color w:val="000000"/>
          <w:szCs w:val="26"/>
        </w:rPr>
        <w:t>, No. 23-14.</w:t>
      </w:r>
    </w:p>
    <w:p w14:paraId="693D9CF2" w14:textId="77777777" w:rsidR="00D83F35" w:rsidRPr="00D83F35" w:rsidRDefault="00D83F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584BE" w14:textId="2A16042F" w:rsidR="00071FE0" w:rsidRDefault="003F6567" w:rsidP="00810D83">
    <w:r>
      <w:rPr>
        <w:noProof/>
      </w:rPr>
      <mc:AlternateContent>
        <mc:Choice Requires="wps">
          <w:drawing>
            <wp:anchor distT="0" distB="0" distL="114300" distR="114300" simplePos="0" relativeHeight="251659264" behindDoc="0" locked="0" layoutInCell="1" allowOverlap="1" wp14:anchorId="55BDA51D" wp14:editId="1C209C39">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9F9CA" w14:textId="77777777" w:rsidR="00071FE0" w:rsidRPr="00810D83" w:rsidRDefault="00071FE0" w:rsidP="00A66882">
                          <w:pPr>
                            <w:jc w:val="right"/>
                          </w:pPr>
                          <w:r w:rsidRPr="00810D83">
                            <w:t>1</w:t>
                          </w:r>
                        </w:p>
                        <w:p w14:paraId="3BA091D3" w14:textId="77777777" w:rsidR="00071FE0" w:rsidRPr="00810D83" w:rsidRDefault="00071FE0" w:rsidP="00A66882">
                          <w:pPr>
                            <w:jc w:val="right"/>
                          </w:pPr>
                          <w:r w:rsidRPr="00810D83">
                            <w:t>2</w:t>
                          </w:r>
                        </w:p>
                        <w:p w14:paraId="1A072485" w14:textId="77777777" w:rsidR="00071FE0" w:rsidRPr="00810D83" w:rsidRDefault="00071FE0" w:rsidP="00A66882">
                          <w:pPr>
                            <w:jc w:val="right"/>
                          </w:pPr>
                          <w:r w:rsidRPr="00810D83">
                            <w:t>3</w:t>
                          </w:r>
                        </w:p>
                        <w:p w14:paraId="1F10C621" w14:textId="77777777" w:rsidR="00071FE0" w:rsidRPr="00810D83" w:rsidRDefault="00071FE0" w:rsidP="00A66882">
                          <w:pPr>
                            <w:jc w:val="right"/>
                          </w:pPr>
                          <w:r w:rsidRPr="00810D83">
                            <w:t>4</w:t>
                          </w:r>
                        </w:p>
                        <w:p w14:paraId="618DA239" w14:textId="77777777" w:rsidR="00071FE0" w:rsidRPr="00810D83" w:rsidRDefault="00071FE0" w:rsidP="00A66882">
                          <w:pPr>
                            <w:jc w:val="right"/>
                          </w:pPr>
                          <w:r w:rsidRPr="00810D83">
                            <w:t>5</w:t>
                          </w:r>
                        </w:p>
                        <w:p w14:paraId="1195546E" w14:textId="77777777" w:rsidR="00071FE0" w:rsidRPr="00810D83" w:rsidRDefault="00071FE0" w:rsidP="00A66882">
                          <w:pPr>
                            <w:jc w:val="right"/>
                          </w:pPr>
                          <w:r w:rsidRPr="00810D83">
                            <w:t>6</w:t>
                          </w:r>
                        </w:p>
                        <w:p w14:paraId="28D4ACC5" w14:textId="77777777" w:rsidR="00071FE0" w:rsidRPr="00810D83" w:rsidRDefault="00071FE0" w:rsidP="00A66882">
                          <w:pPr>
                            <w:jc w:val="right"/>
                          </w:pPr>
                          <w:r w:rsidRPr="00810D83">
                            <w:t>7</w:t>
                          </w:r>
                        </w:p>
                        <w:p w14:paraId="01F4CCE0" w14:textId="77777777" w:rsidR="00071FE0" w:rsidRPr="00810D83" w:rsidRDefault="00071FE0" w:rsidP="00A66882">
                          <w:pPr>
                            <w:jc w:val="right"/>
                          </w:pPr>
                          <w:r w:rsidRPr="00810D83">
                            <w:t>8</w:t>
                          </w:r>
                        </w:p>
                        <w:p w14:paraId="27644F8B" w14:textId="77777777" w:rsidR="00071FE0" w:rsidRPr="00810D83" w:rsidRDefault="00071FE0" w:rsidP="00A66882">
                          <w:pPr>
                            <w:jc w:val="right"/>
                          </w:pPr>
                          <w:r w:rsidRPr="00810D83">
                            <w:t>9</w:t>
                          </w:r>
                        </w:p>
                        <w:p w14:paraId="4E4C5ABE" w14:textId="77777777" w:rsidR="00071FE0" w:rsidRPr="00810D83" w:rsidRDefault="00071FE0" w:rsidP="00A66882">
                          <w:pPr>
                            <w:jc w:val="right"/>
                          </w:pPr>
                          <w:r w:rsidRPr="00810D83">
                            <w:t>10</w:t>
                          </w:r>
                        </w:p>
                        <w:p w14:paraId="6242144C" w14:textId="77777777" w:rsidR="00071FE0" w:rsidRPr="00810D83" w:rsidRDefault="00071FE0" w:rsidP="00A66882">
                          <w:pPr>
                            <w:jc w:val="right"/>
                          </w:pPr>
                          <w:r w:rsidRPr="00810D83">
                            <w:t>11</w:t>
                          </w:r>
                        </w:p>
                        <w:p w14:paraId="1C118952" w14:textId="77777777" w:rsidR="00071FE0" w:rsidRPr="00810D83" w:rsidRDefault="00071FE0" w:rsidP="00A66882">
                          <w:pPr>
                            <w:jc w:val="right"/>
                          </w:pPr>
                          <w:r w:rsidRPr="00810D83">
                            <w:t>12</w:t>
                          </w:r>
                        </w:p>
                        <w:p w14:paraId="67CDBCDE" w14:textId="77777777" w:rsidR="00071FE0" w:rsidRPr="00810D83" w:rsidRDefault="00071FE0" w:rsidP="00A66882">
                          <w:pPr>
                            <w:jc w:val="right"/>
                          </w:pPr>
                          <w:r w:rsidRPr="00810D83">
                            <w:t>13</w:t>
                          </w:r>
                        </w:p>
                        <w:p w14:paraId="5AD385AF" w14:textId="77777777" w:rsidR="00071FE0" w:rsidRPr="00810D83" w:rsidRDefault="00071FE0" w:rsidP="00A66882">
                          <w:pPr>
                            <w:jc w:val="right"/>
                          </w:pPr>
                          <w:r w:rsidRPr="00810D83">
                            <w:t>14</w:t>
                          </w:r>
                        </w:p>
                        <w:p w14:paraId="7FBC8022" w14:textId="77777777" w:rsidR="00071FE0" w:rsidRPr="00810D83" w:rsidRDefault="00071FE0" w:rsidP="00A66882">
                          <w:pPr>
                            <w:jc w:val="right"/>
                          </w:pPr>
                          <w:r w:rsidRPr="00810D83">
                            <w:t>15</w:t>
                          </w:r>
                        </w:p>
                        <w:p w14:paraId="7D8C9853" w14:textId="77777777" w:rsidR="00071FE0" w:rsidRPr="00810D83" w:rsidRDefault="00071FE0" w:rsidP="00A66882">
                          <w:pPr>
                            <w:jc w:val="right"/>
                          </w:pPr>
                          <w:r w:rsidRPr="00810D83">
                            <w:t>16</w:t>
                          </w:r>
                        </w:p>
                        <w:p w14:paraId="15BCB1A6" w14:textId="77777777" w:rsidR="00071FE0" w:rsidRPr="00810D83" w:rsidRDefault="00071FE0" w:rsidP="00A66882">
                          <w:pPr>
                            <w:jc w:val="right"/>
                          </w:pPr>
                          <w:r w:rsidRPr="00810D83">
                            <w:t>17</w:t>
                          </w:r>
                        </w:p>
                        <w:p w14:paraId="02F7ECC6" w14:textId="77777777" w:rsidR="00071FE0" w:rsidRPr="00810D83" w:rsidRDefault="00071FE0" w:rsidP="00A66882">
                          <w:pPr>
                            <w:jc w:val="right"/>
                          </w:pPr>
                          <w:r w:rsidRPr="00810D83">
                            <w:t>18</w:t>
                          </w:r>
                        </w:p>
                        <w:p w14:paraId="7C4315A2" w14:textId="77777777" w:rsidR="00071FE0" w:rsidRPr="00810D83" w:rsidRDefault="00071FE0" w:rsidP="00A66882">
                          <w:pPr>
                            <w:jc w:val="right"/>
                          </w:pPr>
                          <w:r w:rsidRPr="00810D83">
                            <w:t>19</w:t>
                          </w:r>
                        </w:p>
                        <w:p w14:paraId="34A1E06A" w14:textId="77777777" w:rsidR="00071FE0" w:rsidRPr="00810D83" w:rsidRDefault="00071FE0" w:rsidP="00A66882">
                          <w:pPr>
                            <w:jc w:val="right"/>
                          </w:pPr>
                          <w:r w:rsidRPr="00810D83">
                            <w:t>20</w:t>
                          </w:r>
                        </w:p>
                        <w:p w14:paraId="412B16F4" w14:textId="77777777" w:rsidR="00071FE0" w:rsidRPr="00810D83" w:rsidRDefault="00071FE0" w:rsidP="00A66882">
                          <w:pPr>
                            <w:jc w:val="right"/>
                          </w:pPr>
                          <w:r w:rsidRPr="00810D83">
                            <w:t>21</w:t>
                          </w:r>
                        </w:p>
                        <w:p w14:paraId="2D1C5D51" w14:textId="77777777" w:rsidR="00071FE0" w:rsidRPr="00810D83" w:rsidRDefault="00071FE0" w:rsidP="00A66882">
                          <w:pPr>
                            <w:jc w:val="right"/>
                          </w:pPr>
                          <w:r w:rsidRPr="00810D83">
                            <w:t>22</w:t>
                          </w:r>
                        </w:p>
                        <w:p w14:paraId="3434BBA0" w14:textId="77777777" w:rsidR="00071FE0" w:rsidRPr="00810D83" w:rsidRDefault="00071FE0" w:rsidP="00A66882">
                          <w:pPr>
                            <w:jc w:val="right"/>
                          </w:pPr>
                          <w:r w:rsidRPr="00810D83">
                            <w:t>23</w:t>
                          </w:r>
                        </w:p>
                        <w:p w14:paraId="660EC2BD" w14:textId="77777777" w:rsidR="00071FE0" w:rsidRPr="00810D83" w:rsidRDefault="00071FE0" w:rsidP="00A66882">
                          <w:pPr>
                            <w:jc w:val="right"/>
                          </w:pPr>
                          <w:r w:rsidRPr="00810D83">
                            <w:t>24</w:t>
                          </w:r>
                        </w:p>
                        <w:p w14:paraId="5F51AFCA" w14:textId="77777777" w:rsidR="00071FE0" w:rsidRPr="00810D83" w:rsidRDefault="00071FE0" w:rsidP="00A66882">
                          <w:pPr>
                            <w:jc w:val="right"/>
                          </w:pPr>
                          <w:r w:rsidRPr="00810D83">
                            <w:t>25</w:t>
                          </w:r>
                        </w:p>
                        <w:p w14:paraId="5BD1BE22" w14:textId="77777777" w:rsidR="00071FE0" w:rsidRPr="00810D83" w:rsidRDefault="00071FE0" w:rsidP="004470A2">
                          <w:pPr>
                            <w:jc w:val="right"/>
                          </w:pPr>
                          <w:r w:rsidRPr="00810D83">
                            <w:t>26</w:t>
                          </w:r>
                        </w:p>
                        <w:p w14:paraId="187811D2" w14:textId="77777777" w:rsidR="00071FE0" w:rsidRPr="00810D83" w:rsidRDefault="00071FE0" w:rsidP="00A66882">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5BDA51D"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14:paraId="4B69F9CA" w14:textId="77777777" w:rsidR="00071FE0" w:rsidRPr="00810D83" w:rsidRDefault="00071FE0" w:rsidP="00A66882">
                    <w:pPr>
                      <w:jc w:val="right"/>
                    </w:pPr>
                    <w:r w:rsidRPr="00810D83">
                      <w:t>1</w:t>
                    </w:r>
                  </w:p>
                  <w:p w14:paraId="3BA091D3" w14:textId="77777777" w:rsidR="00071FE0" w:rsidRPr="00810D83" w:rsidRDefault="00071FE0" w:rsidP="00A66882">
                    <w:pPr>
                      <w:jc w:val="right"/>
                    </w:pPr>
                    <w:r w:rsidRPr="00810D83">
                      <w:t>2</w:t>
                    </w:r>
                  </w:p>
                  <w:p w14:paraId="1A072485" w14:textId="77777777" w:rsidR="00071FE0" w:rsidRPr="00810D83" w:rsidRDefault="00071FE0" w:rsidP="00A66882">
                    <w:pPr>
                      <w:jc w:val="right"/>
                    </w:pPr>
                    <w:r w:rsidRPr="00810D83">
                      <w:t>3</w:t>
                    </w:r>
                  </w:p>
                  <w:p w14:paraId="1F10C621" w14:textId="77777777" w:rsidR="00071FE0" w:rsidRPr="00810D83" w:rsidRDefault="00071FE0" w:rsidP="00A66882">
                    <w:pPr>
                      <w:jc w:val="right"/>
                    </w:pPr>
                    <w:r w:rsidRPr="00810D83">
                      <w:t>4</w:t>
                    </w:r>
                  </w:p>
                  <w:p w14:paraId="618DA239" w14:textId="77777777" w:rsidR="00071FE0" w:rsidRPr="00810D83" w:rsidRDefault="00071FE0" w:rsidP="00A66882">
                    <w:pPr>
                      <w:jc w:val="right"/>
                    </w:pPr>
                    <w:r w:rsidRPr="00810D83">
                      <w:t>5</w:t>
                    </w:r>
                  </w:p>
                  <w:p w14:paraId="1195546E" w14:textId="77777777" w:rsidR="00071FE0" w:rsidRPr="00810D83" w:rsidRDefault="00071FE0" w:rsidP="00A66882">
                    <w:pPr>
                      <w:jc w:val="right"/>
                    </w:pPr>
                    <w:r w:rsidRPr="00810D83">
                      <w:t>6</w:t>
                    </w:r>
                  </w:p>
                  <w:p w14:paraId="28D4ACC5" w14:textId="77777777" w:rsidR="00071FE0" w:rsidRPr="00810D83" w:rsidRDefault="00071FE0" w:rsidP="00A66882">
                    <w:pPr>
                      <w:jc w:val="right"/>
                    </w:pPr>
                    <w:r w:rsidRPr="00810D83">
                      <w:t>7</w:t>
                    </w:r>
                  </w:p>
                  <w:p w14:paraId="01F4CCE0" w14:textId="77777777" w:rsidR="00071FE0" w:rsidRPr="00810D83" w:rsidRDefault="00071FE0" w:rsidP="00A66882">
                    <w:pPr>
                      <w:jc w:val="right"/>
                    </w:pPr>
                    <w:r w:rsidRPr="00810D83">
                      <w:t>8</w:t>
                    </w:r>
                  </w:p>
                  <w:p w14:paraId="27644F8B" w14:textId="77777777" w:rsidR="00071FE0" w:rsidRPr="00810D83" w:rsidRDefault="00071FE0" w:rsidP="00A66882">
                    <w:pPr>
                      <w:jc w:val="right"/>
                    </w:pPr>
                    <w:r w:rsidRPr="00810D83">
                      <w:t>9</w:t>
                    </w:r>
                  </w:p>
                  <w:p w14:paraId="4E4C5ABE" w14:textId="77777777" w:rsidR="00071FE0" w:rsidRPr="00810D83" w:rsidRDefault="00071FE0" w:rsidP="00A66882">
                    <w:pPr>
                      <w:jc w:val="right"/>
                    </w:pPr>
                    <w:r w:rsidRPr="00810D83">
                      <w:t>10</w:t>
                    </w:r>
                  </w:p>
                  <w:p w14:paraId="6242144C" w14:textId="77777777" w:rsidR="00071FE0" w:rsidRPr="00810D83" w:rsidRDefault="00071FE0" w:rsidP="00A66882">
                    <w:pPr>
                      <w:jc w:val="right"/>
                    </w:pPr>
                    <w:r w:rsidRPr="00810D83">
                      <w:t>11</w:t>
                    </w:r>
                  </w:p>
                  <w:p w14:paraId="1C118952" w14:textId="77777777" w:rsidR="00071FE0" w:rsidRPr="00810D83" w:rsidRDefault="00071FE0" w:rsidP="00A66882">
                    <w:pPr>
                      <w:jc w:val="right"/>
                    </w:pPr>
                    <w:r w:rsidRPr="00810D83">
                      <w:t>12</w:t>
                    </w:r>
                  </w:p>
                  <w:p w14:paraId="67CDBCDE" w14:textId="77777777" w:rsidR="00071FE0" w:rsidRPr="00810D83" w:rsidRDefault="00071FE0" w:rsidP="00A66882">
                    <w:pPr>
                      <w:jc w:val="right"/>
                    </w:pPr>
                    <w:r w:rsidRPr="00810D83">
                      <w:t>13</w:t>
                    </w:r>
                  </w:p>
                  <w:p w14:paraId="5AD385AF" w14:textId="77777777" w:rsidR="00071FE0" w:rsidRPr="00810D83" w:rsidRDefault="00071FE0" w:rsidP="00A66882">
                    <w:pPr>
                      <w:jc w:val="right"/>
                    </w:pPr>
                    <w:r w:rsidRPr="00810D83">
                      <w:t>14</w:t>
                    </w:r>
                  </w:p>
                  <w:p w14:paraId="7FBC8022" w14:textId="77777777" w:rsidR="00071FE0" w:rsidRPr="00810D83" w:rsidRDefault="00071FE0" w:rsidP="00A66882">
                    <w:pPr>
                      <w:jc w:val="right"/>
                    </w:pPr>
                    <w:r w:rsidRPr="00810D83">
                      <w:t>15</w:t>
                    </w:r>
                  </w:p>
                  <w:p w14:paraId="7D8C9853" w14:textId="77777777" w:rsidR="00071FE0" w:rsidRPr="00810D83" w:rsidRDefault="00071FE0" w:rsidP="00A66882">
                    <w:pPr>
                      <w:jc w:val="right"/>
                    </w:pPr>
                    <w:r w:rsidRPr="00810D83">
                      <w:t>16</w:t>
                    </w:r>
                  </w:p>
                  <w:p w14:paraId="15BCB1A6" w14:textId="77777777" w:rsidR="00071FE0" w:rsidRPr="00810D83" w:rsidRDefault="00071FE0" w:rsidP="00A66882">
                    <w:pPr>
                      <w:jc w:val="right"/>
                    </w:pPr>
                    <w:r w:rsidRPr="00810D83">
                      <w:t>17</w:t>
                    </w:r>
                  </w:p>
                  <w:p w14:paraId="02F7ECC6" w14:textId="77777777" w:rsidR="00071FE0" w:rsidRPr="00810D83" w:rsidRDefault="00071FE0" w:rsidP="00A66882">
                    <w:pPr>
                      <w:jc w:val="right"/>
                    </w:pPr>
                    <w:r w:rsidRPr="00810D83">
                      <w:t>18</w:t>
                    </w:r>
                  </w:p>
                  <w:p w14:paraId="7C4315A2" w14:textId="77777777" w:rsidR="00071FE0" w:rsidRPr="00810D83" w:rsidRDefault="00071FE0" w:rsidP="00A66882">
                    <w:pPr>
                      <w:jc w:val="right"/>
                    </w:pPr>
                    <w:r w:rsidRPr="00810D83">
                      <w:t>19</w:t>
                    </w:r>
                  </w:p>
                  <w:p w14:paraId="34A1E06A" w14:textId="77777777" w:rsidR="00071FE0" w:rsidRPr="00810D83" w:rsidRDefault="00071FE0" w:rsidP="00A66882">
                    <w:pPr>
                      <w:jc w:val="right"/>
                    </w:pPr>
                    <w:r w:rsidRPr="00810D83">
                      <w:t>20</w:t>
                    </w:r>
                  </w:p>
                  <w:p w14:paraId="412B16F4" w14:textId="77777777" w:rsidR="00071FE0" w:rsidRPr="00810D83" w:rsidRDefault="00071FE0" w:rsidP="00A66882">
                    <w:pPr>
                      <w:jc w:val="right"/>
                    </w:pPr>
                    <w:r w:rsidRPr="00810D83">
                      <w:t>21</w:t>
                    </w:r>
                  </w:p>
                  <w:p w14:paraId="2D1C5D51" w14:textId="77777777" w:rsidR="00071FE0" w:rsidRPr="00810D83" w:rsidRDefault="00071FE0" w:rsidP="00A66882">
                    <w:pPr>
                      <w:jc w:val="right"/>
                    </w:pPr>
                    <w:r w:rsidRPr="00810D83">
                      <w:t>22</w:t>
                    </w:r>
                  </w:p>
                  <w:p w14:paraId="3434BBA0" w14:textId="77777777" w:rsidR="00071FE0" w:rsidRPr="00810D83" w:rsidRDefault="00071FE0" w:rsidP="00A66882">
                    <w:pPr>
                      <w:jc w:val="right"/>
                    </w:pPr>
                    <w:r w:rsidRPr="00810D83">
                      <w:t>23</w:t>
                    </w:r>
                  </w:p>
                  <w:p w14:paraId="660EC2BD" w14:textId="77777777" w:rsidR="00071FE0" w:rsidRPr="00810D83" w:rsidRDefault="00071FE0" w:rsidP="00A66882">
                    <w:pPr>
                      <w:jc w:val="right"/>
                    </w:pPr>
                    <w:r w:rsidRPr="00810D83">
                      <w:t>24</w:t>
                    </w:r>
                  </w:p>
                  <w:p w14:paraId="5F51AFCA" w14:textId="77777777" w:rsidR="00071FE0" w:rsidRPr="00810D83" w:rsidRDefault="00071FE0" w:rsidP="00A66882">
                    <w:pPr>
                      <w:jc w:val="right"/>
                    </w:pPr>
                    <w:r w:rsidRPr="00810D83">
                      <w:t>25</w:t>
                    </w:r>
                  </w:p>
                  <w:p w14:paraId="5BD1BE22" w14:textId="77777777" w:rsidR="00071FE0" w:rsidRPr="00810D83" w:rsidRDefault="00071FE0" w:rsidP="004470A2">
                    <w:pPr>
                      <w:jc w:val="right"/>
                    </w:pPr>
                    <w:r w:rsidRPr="00810D83">
                      <w:t>26</w:t>
                    </w:r>
                  </w:p>
                  <w:p w14:paraId="187811D2" w14:textId="77777777" w:rsidR="00071FE0" w:rsidRPr="00810D83" w:rsidRDefault="00071FE0" w:rsidP="00A66882">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6774258C" wp14:editId="4B38137B">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A3DA2"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DD147CB" wp14:editId="39485C77">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E1E1"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0BC3215" wp14:editId="4F0E120B">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BDBF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4A4D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6E01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5A35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023F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2671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5A16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C884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B4C0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7EB3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626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259A8"/>
    <w:multiLevelType w:val="hybridMultilevel"/>
    <w:tmpl w:val="01F42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0478F"/>
    <w:multiLevelType w:val="hybridMultilevel"/>
    <w:tmpl w:val="B096F500"/>
    <w:lvl w:ilvl="0" w:tplc="2AEE5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403E8F"/>
    <w:multiLevelType w:val="hybridMultilevel"/>
    <w:tmpl w:val="6DDC0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7E7C4B"/>
    <w:multiLevelType w:val="hybridMultilevel"/>
    <w:tmpl w:val="301AB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F04A22"/>
    <w:multiLevelType w:val="hybridMultilevel"/>
    <w:tmpl w:val="ECBEBD66"/>
    <w:lvl w:ilvl="0" w:tplc="636CA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95BCF"/>
    <w:multiLevelType w:val="hybridMultilevel"/>
    <w:tmpl w:val="D35AD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68333C"/>
    <w:multiLevelType w:val="hybridMultilevel"/>
    <w:tmpl w:val="6A2EC7F4"/>
    <w:lvl w:ilvl="0" w:tplc="96FA8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6"/>
  </w:num>
  <w:num w:numId="14">
    <w:abstractNumId w:val="10"/>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30"/>
  <w:drawingGridVerticalSpacing w:val="18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1"/>
  </w:docVars>
  <w:rsids>
    <w:rsidRoot w:val="00A6523B"/>
    <w:rsid w:val="000251B0"/>
    <w:rsid w:val="00034B6F"/>
    <w:rsid w:val="0004184E"/>
    <w:rsid w:val="00043974"/>
    <w:rsid w:val="00071FE0"/>
    <w:rsid w:val="000741F5"/>
    <w:rsid w:val="00074C2F"/>
    <w:rsid w:val="0008095B"/>
    <w:rsid w:val="0008613E"/>
    <w:rsid w:val="00087E64"/>
    <w:rsid w:val="00091792"/>
    <w:rsid w:val="00096854"/>
    <w:rsid w:val="000E4BEA"/>
    <w:rsid w:val="000F31DA"/>
    <w:rsid w:val="000F45B1"/>
    <w:rsid w:val="000F66CA"/>
    <w:rsid w:val="00101709"/>
    <w:rsid w:val="00102E0F"/>
    <w:rsid w:val="00106455"/>
    <w:rsid w:val="00115C7E"/>
    <w:rsid w:val="001633B1"/>
    <w:rsid w:val="001917FF"/>
    <w:rsid w:val="00197247"/>
    <w:rsid w:val="001A6E26"/>
    <w:rsid w:val="001B06F2"/>
    <w:rsid w:val="001B3734"/>
    <w:rsid w:val="001B5F03"/>
    <w:rsid w:val="001C093B"/>
    <w:rsid w:val="001C69DD"/>
    <w:rsid w:val="001E2137"/>
    <w:rsid w:val="001E6BB6"/>
    <w:rsid w:val="001E79C6"/>
    <w:rsid w:val="0020004F"/>
    <w:rsid w:val="0020269D"/>
    <w:rsid w:val="00211254"/>
    <w:rsid w:val="00222AA5"/>
    <w:rsid w:val="00235B12"/>
    <w:rsid w:val="0024697E"/>
    <w:rsid w:val="002550EC"/>
    <w:rsid w:val="00256D9F"/>
    <w:rsid w:val="0026408B"/>
    <w:rsid w:val="00271731"/>
    <w:rsid w:val="002A5041"/>
    <w:rsid w:val="002B1A03"/>
    <w:rsid w:val="002C5DFA"/>
    <w:rsid w:val="002D5340"/>
    <w:rsid w:val="002D79CF"/>
    <w:rsid w:val="002F69D5"/>
    <w:rsid w:val="00304EC5"/>
    <w:rsid w:val="00306F29"/>
    <w:rsid w:val="00315B38"/>
    <w:rsid w:val="00337D33"/>
    <w:rsid w:val="00345389"/>
    <w:rsid w:val="00381545"/>
    <w:rsid w:val="00382C70"/>
    <w:rsid w:val="00390D51"/>
    <w:rsid w:val="00391E33"/>
    <w:rsid w:val="003A190A"/>
    <w:rsid w:val="003A272E"/>
    <w:rsid w:val="003A3272"/>
    <w:rsid w:val="003B2A2C"/>
    <w:rsid w:val="003B4569"/>
    <w:rsid w:val="003C5C97"/>
    <w:rsid w:val="003D228A"/>
    <w:rsid w:val="003D52EA"/>
    <w:rsid w:val="003D7F64"/>
    <w:rsid w:val="003E292D"/>
    <w:rsid w:val="003F22FB"/>
    <w:rsid w:val="003F6567"/>
    <w:rsid w:val="00401C3E"/>
    <w:rsid w:val="004121E0"/>
    <w:rsid w:val="00422F54"/>
    <w:rsid w:val="00435E1D"/>
    <w:rsid w:val="00446920"/>
    <w:rsid w:val="004470A2"/>
    <w:rsid w:val="00461F8D"/>
    <w:rsid w:val="00466080"/>
    <w:rsid w:val="004829DF"/>
    <w:rsid w:val="00485297"/>
    <w:rsid w:val="00485700"/>
    <w:rsid w:val="004A651D"/>
    <w:rsid w:val="004D008B"/>
    <w:rsid w:val="004D64A6"/>
    <w:rsid w:val="0050332C"/>
    <w:rsid w:val="005129F6"/>
    <w:rsid w:val="0051359D"/>
    <w:rsid w:val="00517F30"/>
    <w:rsid w:val="00526F1B"/>
    <w:rsid w:val="00531979"/>
    <w:rsid w:val="00551E14"/>
    <w:rsid w:val="00554BFA"/>
    <w:rsid w:val="00556C72"/>
    <w:rsid w:val="00562EEF"/>
    <w:rsid w:val="005632AC"/>
    <w:rsid w:val="00572269"/>
    <w:rsid w:val="00582C96"/>
    <w:rsid w:val="00594C68"/>
    <w:rsid w:val="005A5467"/>
    <w:rsid w:val="005D3293"/>
    <w:rsid w:val="005D3530"/>
    <w:rsid w:val="005E110C"/>
    <w:rsid w:val="005F6A95"/>
    <w:rsid w:val="00620BC2"/>
    <w:rsid w:val="00622DE7"/>
    <w:rsid w:val="00650C6A"/>
    <w:rsid w:val="00663E9E"/>
    <w:rsid w:val="00684628"/>
    <w:rsid w:val="00690DA7"/>
    <w:rsid w:val="006A26D6"/>
    <w:rsid w:val="006B0C54"/>
    <w:rsid w:val="006B2B9D"/>
    <w:rsid w:val="006C47A7"/>
    <w:rsid w:val="006E7DFA"/>
    <w:rsid w:val="006F68FA"/>
    <w:rsid w:val="00713883"/>
    <w:rsid w:val="00722A9D"/>
    <w:rsid w:val="007366DD"/>
    <w:rsid w:val="00746E2E"/>
    <w:rsid w:val="00746E41"/>
    <w:rsid w:val="00754375"/>
    <w:rsid w:val="00765BE6"/>
    <w:rsid w:val="007730FE"/>
    <w:rsid w:val="0078772A"/>
    <w:rsid w:val="007A2900"/>
    <w:rsid w:val="007D2FB3"/>
    <w:rsid w:val="007F7FA9"/>
    <w:rsid w:val="00810D83"/>
    <w:rsid w:val="0081326F"/>
    <w:rsid w:val="00816C94"/>
    <w:rsid w:val="00847870"/>
    <w:rsid w:val="00852358"/>
    <w:rsid w:val="00852D16"/>
    <w:rsid w:val="008544A6"/>
    <w:rsid w:val="00856E15"/>
    <w:rsid w:val="00857309"/>
    <w:rsid w:val="00862E82"/>
    <w:rsid w:val="00873560"/>
    <w:rsid w:val="008738B0"/>
    <w:rsid w:val="00883E58"/>
    <w:rsid w:val="008875D3"/>
    <w:rsid w:val="008A194A"/>
    <w:rsid w:val="008B1662"/>
    <w:rsid w:val="008C4DA8"/>
    <w:rsid w:val="008D24E5"/>
    <w:rsid w:val="008D5AA8"/>
    <w:rsid w:val="008D6102"/>
    <w:rsid w:val="008D649F"/>
    <w:rsid w:val="008F06A0"/>
    <w:rsid w:val="008F6BC1"/>
    <w:rsid w:val="00900133"/>
    <w:rsid w:val="00910341"/>
    <w:rsid w:val="00916F7C"/>
    <w:rsid w:val="00925AA7"/>
    <w:rsid w:val="009264B4"/>
    <w:rsid w:val="0093053D"/>
    <w:rsid w:val="00941231"/>
    <w:rsid w:val="009458E2"/>
    <w:rsid w:val="00955E39"/>
    <w:rsid w:val="0096300D"/>
    <w:rsid w:val="00965DD3"/>
    <w:rsid w:val="00976173"/>
    <w:rsid w:val="0098670A"/>
    <w:rsid w:val="009939EA"/>
    <w:rsid w:val="009B129C"/>
    <w:rsid w:val="009B1C1D"/>
    <w:rsid w:val="009B69EB"/>
    <w:rsid w:val="009C721E"/>
    <w:rsid w:val="009D090C"/>
    <w:rsid w:val="009E4B3F"/>
    <w:rsid w:val="00A34C16"/>
    <w:rsid w:val="00A374AD"/>
    <w:rsid w:val="00A559B2"/>
    <w:rsid w:val="00A6523B"/>
    <w:rsid w:val="00A66882"/>
    <w:rsid w:val="00A71990"/>
    <w:rsid w:val="00A740BE"/>
    <w:rsid w:val="00A86CD1"/>
    <w:rsid w:val="00AA08E4"/>
    <w:rsid w:val="00AA7C95"/>
    <w:rsid w:val="00AA7D7A"/>
    <w:rsid w:val="00AB20CA"/>
    <w:rsid w:val="00AC1114"/>
    <w:rsid w:val="00AD2467"/>
    <w:rsid w:val="00AF1AA1"/>
    <w:rsid w:val="00B0594D"/>
    <w:rsid w:val="00B200DF"/>
    <w:rsid w:val="00B23340"/>
    <w:rsid w:val="00B3040E"/>
    <w:rsid w:val="00B30609"/>
    <w:rsid w:val="00B31E48"/>
    <w:rsid w:val="00B40692"/>
    <w:rsid w:val="00B51547"/>
    <w:rsid w:val="00B54D2F"/>
    <w:rsid w:val="00B81A82"/>
    <w:rsid w:val="00B93797"/>
    <w:rsid w:val="00BB1E06"/>
    <w:rsid w:val="00BC1F7F"/>
    <w:rsid w:val="00BF4BD5"/>
    <w:rsid w:val="00C02160"/>
    <w:rsid w:val="00C060CA"/>
    <w:rsid w:val="00C12A37"/>
    <w:rsid w:val="00C21B5D"/>
    <w:rsid w:val="00C472BF"/>
    <w:rsid w:val="00C509BD"/>
    <w:rsid w:val="00C52F40"/>
    <w:rsid w:val="00C53E66"/>
    <w:rsid w:val="00C838C3"/>
    <w:rsid w:val="00C861F8"/>
    <w:rsid w:val="00C95879"/>
    <w:rsid w:val="00C96476"/>
    <w:rsid w:val="00C96A44"/>
    <w:rsid w:val="00CA4781"/>
    <w:rsid w:val="00CA5730"/>
    <w:rsid w:val="00CB4A35"/>
    <w:rsid w:val="00CB5B6B"/>
    <w:rsid w:val="00CC6FC5"/>
    <w:rsid w:val="00CD01E1"/>
    <w:rsid w:val="00CE786F"/>
    <w:rsid w:val="00CF14B9"/>
    <w:rsid w:val="00D1053C"/>
    <w:rsid w:val="00D209ED"/>
    <w:rsid w:val="00D25329"/>
    <w:rsid w:val="00D365B7"/>
    <w:rsid w:val="00D45ACE"/>
    <w:rsid w:val="00D55652"/>
    <w:rsid w:val="00D72B68"/>
    <w:rsid w:val="00D80CA1"/>
    <w:rsid w:val="00D83F35"/>
    <w:rsid w:val="00D90EC5"/>
    <w:rsid w:val="00DA0300"/>
    <w:rsid w:val="00DC2728"/>
    <w:rsid w:val="00DC47CC"/>
    <w:rsid w:val="00DE7123"/>
    <w:rsid w:val="00DE7F77"/>
    <w:rsid w:val="00E10FB5"/>
    <w:rsid w:val="00E13262"/>
    <w:rsid w:val="00E20D73"/>
    <w:rsid w:val="00E32715"/>
    <w:rsid w:val="00E56C3F"/>
    <w:rsid w:val="00E572B9"/>
    <w:rsid w:val="00E6286C"/>
    <w:rsid w:val="00E706F0"/>
    <w:rsid w:val="00E80D92"/>
    <w:rsid w:val="00E862B9"/>
    <w:rsid w:val="00E97A07"/>
    <w:rsid w:val="00EA7512"/>
    <w:rsid w:val="00EB3DC3"/>
    <w:rsid w:val="00ED4F64"/>
    <w:rsid w:val="00EE52FA"/>
    <w:rsid w:val="00EF14D2"/>
    <w:rsid w:val="00EF290A"/>
    <w:rsid w:val="00EF6168"/>
    <w:rsid w:val="00F1391B"/>
    <w:rsid w:val="00F14CD3"/>
    <w:rsid w:val="00F53826"/>
    <w:rsid w:val="00F56B17"/>
    <w:rsid w:val="00F673DA"/>
    <w:rsid w:val="00F75FB2"/>
    <w:rsid w:val="00F769A2"/>
    <w:rsid w:val="00F801D8"/>
    <w:rsid w:val="00FA17CB"/>
    <w:rsid w:val="00FA6624"/>
    <w:rsid w:val="00FC4EC7"/>
    <w:rsid w:val="00FC5FB6"/>
    <w:rsid w:val="00FC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15DE5"/>
  <w15:docId w15:val="{C9676FA0-C7AB-42BC-9925-E4B830FF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A9D"/>
    <w:pPr>
      <w:spacing w:line="489" w:lineRule="exact"/>
      <w:contextualSpacing/>
    </w:pPr>
    <w:rPr>
      <w:sz w:val="26"/>
      <w:szCs w:val="26"/>
    </w:rPr>
  </w:style>
  <w:style w:type="paragraph" w:styleId="Heading1">
    <w:name w:val="heading 1"/>
    <w:basedOn w:val="Normal"/>
    <w:next w:val="Normal"/>
    <w:link w:val="Heading1Char"/>
    <w:autoRedefine/>
    <w:uiPriority w:val="9"/>
    <w:qFormat/>
    <w:rsid w:val="00CC6FC5"/>
    <w:pPr>
      <w:keepNext/>
      <w:spacing w:before="200" w:line="240" w:lineRule="auto"/>
      <w:ind w:left="720" w:hanging="720"/>
      <w:outlineLvl w:val="0"/>
    </w:pPr>
    <w:rPr>
      <w:rFonts w:ascii="Times New Roman Bold" w:hAnsi="Times New Roman Bold"/>
      <w:b/>
      <w:bCs/>
      <w:caps/>
      <w:kern w:val="32"/>
      <w:szCs w:val="32"/>
    </w:rPr>
  </w:style>
  <w:style w:type="paragraph" w:styleId="Heading2">
    <w:name w:val="heading 2"/>
    <w:basedOn w:val="Normal"/>
    <w:next w:val="Normal"/>
    <w:link w:val="Heading2Char"/>
    <w:autoRedefine/>
    <w:uiPriority w:val="9"/>
    <w:unhideWhenUsed/>
    <w:qFormat/>
    <w:rsid w:val="00722A9D"/>
    <w:pPr>
      <w:keepNext/>
      <w:spacing w:before="200" w:line="240" w:lineRule="auto"/>
      <w:ind w:left="1440" w:hanging="720"/>
      <w:outlineLvl w:val="1"/>
    </w:pPr>
    <w:rPr>
      <w:b/>
      <w:bCs/>
      <w:iCs/>
      <w:szCs w:val="28"/>
    </w:rPr>
  </w:style>
  <w:style w:type="paragraph" w:styleId="Heading3">
    <w:name w:val="heading 3"/>
    <w:basedOn w:val="Normal"/>
    <w:next w:val="Normal"/>
    <w:link w:val="Heading3Char"/>
    <w:autoRedefine/>
    <w:uiPriority w:val="9"/>
    <w:unhideWhenUsed/>
    <w:qFormat/>
    <w:rsid w:val="00722A9D"/>
    <w:pPr>
      <w:keepNext/>
      <w:spacing w:before="200" w:line="240" w:lineRule="auto"/>
      <w:ind w:left="2160" w:hanging="720"/>
      <w:outlineLvl w:val="2"/>
    </w:pPr>
    <w:rPr>
      <w:b/>
      <w:bCs/>
    </w:rPr>
  </w:style>
  <w:style w:type="paragraph" w:styleId="Heading4">
    <w:name w:val="heading 4"/>
    <w:basedOn w:val="Normal"/>
    <w:next w:val="Normal"/>
    <w:link w:val="Heading4Char"/>
    <w:uiPriority w:val="9"/>
    <w:unhideWhenUsed/>
    <w:qFormat/>
    <w:rsid w:val="00722A9D"/>
    <w:pPr>
      <w:keepNext/>
      <w:keepLines/>
      <w:spacing w:before="200" w:line="240" w:lineRule="auto"/>
      <w:ind w:left="2880" w:hanging="7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9939EA"/>
    <w:pPr>
      <w:spacing w:line="245" w:lineRule="exact"/>
    </w:pPr>
  </w:style>
  <w:style w:type="table" w:styleId="TableGrid">
    <w:name w:val="Table Grid"/>
    <w:basedOn w:val="TableNormal"/>
    <w:uiPriority w:val="59"/>
    <w:rsid w:val="000F66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509BD"/>
    <w:pPr>
      <w:spacing w:line="240" w:lineRule="auto"/>
    </w:pPr>
    <w:rPr>
      <w:rFonts w:ascii="Tahoma" w:hAnsi="Tahoma" w:cs="Tahoma"/>
      <w:sz w:val="16"/>
      <w:szCs w:val="16"/>
    </w:rPr>
  </w:style>
  <w:style w:type="paragraph" w:customStyle="1" w:styleId="AttorneyName">
    <w:name w:val="Attorney Name"/>
    <w:basedOn w:val="SingleSpacing"/>
    <w:rsid w:val="009939EA"/>
  </w:style>
  <w:style w:type="paragraph" w:customStyle="1" w:styleId="FirmName">
    <w:name w:val="Firm Name"/>
    <w:basedOn w:val="SingleSpacing"/>
    <w:rsid w:val="009939EA"/>
    <w:pPr>
      <w:jc w:val="center"/>
    </w:pPr>
  </w:style>
  <w:style w:type="character" w:customStyle="1" w:styleId="BalloonTextChar">
    <w:name w:val="Balloon Text Char"/>
    <w:basedOn w:val="DefaultParagraphFont"/>
    <w:link w:val="BalloonText"/>
    <w:uiPriority w:val="99"/>
    <w:semiHidden/>
    <w:rsid w:val="00C509BD"/>
    <w:rPr>
      <w:rFonts w:ascii="Tahoma" w:hAnsi="Tahoma" w:cs="Tahoma"/>
      <w:sz w:val="16"/>
      <w:szCs w:val="16"/>
    </w:rPr>
  </w:style>
  <w:style w:type="paragraph" w:styleId="Header">
    <w:name w:val="header"/>
    <w:basedOn w:val="Normal"/>
    <w:rsid w:val="009939EA"/>
    <w:pPr>
      <w:tabs>
        <w:tab w:val="center" w:pos="4320"/>
        <w:tab w:val="right" w:pos="8640"/>
      </w:tabs>
    </w:pPr>
  </w:style>
  <w:style w:type="paragraph" w:styleId="Footer">
    <w:name w:val="footer"/>
    <w:basedOn w:val="Normal"/>
    <w:autoRedefine/>
    <w:rsid w:val="008D5AA8"/>
    <w:pPr>
      <w:tabs>
        <w:tab w:val="center" w:pos="4320"/>
        <w:tab w:val="right" w:pos="8640"/>
      </w:tabs>
      <w:spacing w:line="240" w:lineRule="auto"/>
    </w:pPr>
    <w:rPr>
      <w:sz w:val="20"/>
      <w:szCs w:val="24"/>
    </w:rPr>
  </w:style>
  <w:style w:type="paragraph" w:customStyle="1" w:styleId="Signatureblockdate">
    <w:name w:val="Signature block date"/>
    <w:basedOn w:val="Normal"/>
    <w:rsid w:val="00256D9F"/>
    <w:pPr>
      <w:spacing w:line="245" w:lineRule="exact"/>
      <w:ind w:left="4680"/>
    </w:pPr>
  </w:style>
  <w:style w:type="paragraph" w:customStyle="1" w:styleId="Signatureblockline">
    <w:name w:val="Signature block line"/>
    <w:basedOn w:val="Normal"/>
    <w:rsid w:val="00256D9F"/>
    <w:pPr>
      <w:tabs>
        <w:tab w:val="left" w:leader="underscore" w:pos="9360"/>
      </w:tabs>
      <w:spacing w:line="245" w:lineRule="exact"/>
      <w:ind w:left="6000"/>
    </w:pPr>
  </w:style>
  <w:style w:type="paragraph" w:styleId="NormalIndent">
    <w:name w:val="Normal Indent"/>
    <w:basedOn w:val="Normal"/>
    <w:uiPriority w:val="99"/>
    <w:unhideWhenUsed/>
    <w:rsid w:val="00B81A82"/>
    <w:pPr>
      <w:ind w:firstLine="720"/>
    </w:pPr>
  </w:style>
  <w:style w:type="character" w:customStyle="1" w:styleId="Heading1Char">
    <w:name w:val="Heading 1 Char"/>
    <w:link w:val="Heading1"/>
    <w:uiPriority w:val="9"/>
    <w:rsid w:val="00CC6FC5"/>
    <w:rPr>
      <w:rFonts w:ascii="Times New Roman Bold" w:hAnsi="Times New Roman Bold"/>
      <w:b/>
      <w:bCs/>
      <w:caps/>
      <w:kern w:val="32"/>
      <w:sz w:val="26"/>
      <w:szCs w:val="32"/>
    </w:rPr>
  </w:style>
  <w:style w:type="paragraph" w:styleId="Subtitle">
    <w:name w:val="Subtitle"/>
    <w:basedOn w:val="Normal"/>
    <w:next w:val="Normal"/>
    <w:link w:val="SubtitleChar"/>
    <w:uiPriority w:val="11"/>
    <w:rsid w:val="00FA6624"/>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FA6624"/>
    <w:rPr>
      <w:rFonts w:ascii="Cambria" w:eastAsia="Times New Roman" w:hAnsi="Cambria" w:cs="Times New Roman"/>
      <w:sz w:val="24"/>
      <w:szCs w:val="24"/>
    </w:rPr>
  </w:style>
  <w:style w:type="paragraph" w:styleId="Quote">
    <w:name w:val="Quote"/>
    <w:aliases w:val="Block Quote"/>
    <w:basedOn w:val="Normal"/>
    <w:next w:val="Normal"/>
    <w:link w:val="QuoteChar"/>
    <w:autoRedefine/>
    <w:uiPriority w:val="29"/>
    <w:qFormat/>
    <w:rsid w:val="00722A9D"/>
    <w:pPr>
      <w:spacing w:before="200" w:line="240" w:lineRule="auto"/>
      <w:ind w:left="720" w:right="720"/>
    </w:pPr>
    <w:rPr>
      <w:iCs/>
      <w:color w:val="000000"/>
    </w:rPr>
  </w:style>
  <w:style w:type="character" w:customStyle="1" w:styleId="QuoteChar">
    <w:name w:val="Quote Char"/>
    <w:aliases w:val="Block Quote Char"/>
    <w:link w:val="Quote"/>
    <w:uiPriority w:val="29"/>
    <w:rsid w:val="00722A9D"/>
    <w:rPr>
      <w:iCs/>
      <w:color w:val="000000"/>
      <w:sz w:val="26"/>
      <w:szCs w:val="26"/>
    </w:rPr>
  </w:style>
  <w:style w:type="paragraph" w:styleId="ListParagraph">
    <w:name w:val="List Paragraph"/>
    <w:basedOn w:val="Normal"/>
    <w:uiPriority w:val="34"/>
    <w:rsid w:val="00FA6624"/>
    <w:pPr>
      <w:ind w:left="720"/>
    </w:pPr>
  </w:style>
  <w:style w:type="character" w:customStyle="1" w:styleId="Heading2Char">
    <w:name w:val="Heading 2 Char"/>
    <w:link w:val="Heading2"/>
    <w:uiPriority w:val="9"/>
    <w:rsid w:val="00722A9D"/>
    <w:rPr>
      <w:b/>
      <w:bCs/>
      <w:iCs/>
      <w:sz w:val="26"/>
      <w:szCs w:val="28"/>
    </w:rPr>
  </w:style>
  <w:style w:type="character" w:customStyle="1" w:styleId="Heading3Char">
    <w:name w:val="Heading 3 Char"/>
    <w:link w:val="Heading3"/>
    <w:uiPriority w:val="9"/>
    <w:rsid w:val="00722A9D"/>
    <w:rPr>
      <w:b/>
      <w:bCs/>
      <w:sz w:val="26"/>
      <w:szCs w:val="26"/>
    </w:rPr>
  </w:style>
  <w:style w:type="paragraph" w:styleId="Signature">
    <w:name w:val="Signature"/>
    <w:basedOn w:val="Normal"/>
    <w:link w:val="SignatureChar"/>
    <w:autoRedefine/>
    <w:uiPriority w:val="99"/>
    <w:unhideWhenUsed/>
    <w:rsid w:val="008D6102"/>
    <w:pPr>
      <w:tabs>
        <w:tab w:val="left" w:pos="4320"/>
      </w:tabs>
      <w:spacing w:line="240" w:lineRule="auto"/>
      <w:ind w:left="4320"/>
    </w:pPr>
  </w:style>
  <w:style w:type="character" w:customStyle="1" w:styleId="SignatureChar">
    <w:name w:val="Signature Char"/>
    <w:basedOn w:val="DefaultParagraphFont"/>
    <w:link w:val="Signature"/>
    <w:uiPriority w:val="99"/>
    <w:rsid w:val="008D6102"/>
    <w:rPr>
      <w:sz w:val="26"/>
      <w:szCs w:val="26"/>
    </w:rPr>
  </w:style>
  <w:style w:type="character" w:customStyle="1" w:styleId="Heading4Char">
    <w:name w:val="Heading 4 Char"/>
    <w:link w:val="Heading4"/>
    <w:uiPriority w:val="9"/>
    <w:rsid w:val="00722A9D"/>
    <w:rPr>
      <w:b/>
      <w:iCs/>
      <w:sz w:val="26"/>
      <w:szCs w:val="26"/>
    </w:rPr>
  </w:style>
  <w:style w:type="paragraph" w:styleId="FootnoteText">
    <w:name w:val="footnote text"/>
    <w:basedOn w:val="Normal"/>
    <w:link w:val="FootnoteTextChar"/>
    <w:uiPriority w:val="99"/>
    <w:unhideWhenUsed/>
    <w:qFormat/>
    <w:rsid w:val="00722A9D"/>
    <w:pPr>
      <w:spacing w:line="240" w:lineRule="auto"/>
    </w:pPr>
    <w:rPr>
      <w:szCs w:val="20"/>
    </w:rPr>
  </w:style>
  <w:style w:type="character" w:customStyle="1" w:styleId="FootnoteTextChar">
    <w:name w:val="Footnote Text Char"/>
    <w:link w:val="FootnoteText"/>
    <w:uiPriority w:val="99"/>
    <w:rsid w:val="00722A9D"/>
    <w:rPr>
      <w:sz w:val="26"/>
    </w:rPr>
  </w:style>
  <w:style w:type="paragraph" w:customStyle="1" w:styleId="Default">
    <w:name w:val="Default"/>
    <w:rsid w:val="00722A9D"/>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22A9D"/>
    <w:rPr>
      <w:vertAlign w:val="superscript"/>
    </w:rPr>
  </w:style>
  <w:style w:type="character" w:styleId="Emphasis">
    <w:name w:val="Emphasis"/>
    <w:uiPriority w:val="20"/>
    <w:qFormat/>
    <w:rsid w:val="006F68FA"/>
    <w:rPr>
      <w:i/>
      <w:iCs/>
    </w:rPr>
  </w:style>
  <w:style w:type="character" w:styleId="Strong">
    <w:name w:val="Strong"/>
    <w:uiPriority w:val="22"/>
    <w:qFormat/>
    <w:rsid w:val="0081326F"/>
    <w:rPr>
      <w:b/>
      <w:bCs/>
    </w:rPr>
  </w:style>
  <w:style w:type="character" w:customStyle="1" w:styleId="cohovertext">
    <w:name w:val="co_hovertext"/>
    <w:rsid w:val="0081326F"/>
  </w:style>
  <w:style w:type="character" w:customStyle="1" w:styleId="coconcept1823">
    <w:name w:val="co_concept_18_23"/>
    <w:rsid w:val="00852D16"/>
  </w:style>
  <w:style w:type="character" w:customStyle="1" w:styleId="coconcept2533">
    <w:name w:val="co_concept_25_33"/>
    <w:rsid w:val="00852D16"/>
  </w:style>
  <w:style w:type="character" w:customStyle="1" w:styleId="coconcept16">
    <w:name w:val="co_concept_1_6"/>
    <w:rsid w:val="00852D16"/>
  </w:style>
  <w:style w:type="character" w:customStyle="1" w:styleId="coconcept816">
    <w:name w:val="co_concept_8_16"/>
    <w:rsid w:val="00852D16"/>
  </w:style>
  <w:style w:type="character" w:styleId="Hyperlink">
    <w:name w:val="Hyperlink"/>
    <w:basedOn w:val="DefaultParagraphFont"/>
    <w:uiPriority w:val="99"/>
    <w:unhideWhenUsed/>
    <w:rsid w:val="00852D16"/>
    <w:rPr>
      <w:color w:val="0000FF" w:themeColor="hyperlink"/>
      <w:u w:val="single"/>
    </w:rPr>
  </w:style>
  <w:style w:type="character" w:styleId="UnresolvedMention">
    <w:name w:val="Unresolved Mention"/>
    <w:basedOn w:val="DefaultParagraphFont"/>
    <w:uiPriority w:val="99"/>
    <w:semiHidden/>
    <w:unhideWhenUsed/>
    <w:rsid w:val="00852D16"/>
    <w:rPr>
      <w:color w:val="605E5C"/>
      <w:shd w:val="clear" w:color="auto" w:fill="E1DFDD"/>
    </w:rPr>
  </w:style>
  <w:style w:type="character" w:styleId="FollowedHyperlink">
    <w:name w:val="FollowedHyperlink"/>
    <w:basedOn w:val="DefaultParagraphFont"/>
    <w:uiPriority w:val="99"/>
    <w:semiHidden/>
    <w:unhideWhenUsed/>
    <w:rsid w:val="00E97A07"/>
    <w:rPr>
      <w:color w:val="800080" w:themeColor="followedHyperlink"/>
      <w:u w:val="single"/>
    </w:rPr>
  </w:style>
  <w:style w:type="character" w:customStyle="1" w:styleId="costarpage">
    <w:name w:val="co_starpage"/>
    <w:rsid w:val="004121E0"/>
  </w:style>
  <w:style w:type="character" w:styleId="CommentReference">
    <w:name w:val="annotation reference"/>
    <w:basedOn w:val="DefaultParagraphFont"/>
    <w:uiPriority w:val="99"/>
    <w:semiHidden/>
    <w:unhideWhenUsed/>
    <w:rsid w:val="004829DF"/>
    <w:rPr>
      <w:sz w:val="16"/>
      <w:szCs w:val="16"/>
    </w:rPr>
  </w:style>
  <w:style w:type="paragraph" w:styleId="CommentText">
    <w:name w:val="annotation text"/>
    <w:basedOn w:val="Normal"/>
    <w:link w:val="CommentTextChar"/>
    <w:uiPriority w:val="99"/>
    <w:semiHidden/>
    <w:unhideWhenUsed/>
    <w:rsid w:val="004829DF"/>
    <w:rPr>
      <w:sz w:val="20"/>
      <w:szCs w:val="20"/>
    </w:rPr>
  </w:style>
  <w:style w:type="character" w:customStyle="1" w:styleId="CommentTextChar">
    <w:name w:val="Comment Text Char"/>
    <w:basedOn w:val="DefaultParagraphFont"/>
    <w:link w:val="CommentText"/>
    <w:uiPriority w:val="99"/>
    <w:semiHidden/>
    <w:rsid w:val="004829DF"/>
  </w:style>
  <w:style w:type="paragraph" w:styleId="CommentSubject">
    <w:name w:val="annotation subject"/>
    <w:basedOn w:val="CommentText"/>
    <w:next w:val="CommentText"/>
    <w:link w:val="CommentSubjectChar"/>
    <w:uiPriority w:val="99"/>
    <w:semiHidden/>
    <w:unhideWhenUsed/>
    <w:rsid w:val="004829DF"/>
    <w:rPr>
      <w:b/>
      <w:bCs/>
    </w:rPr>
  </w:style>
  <w:style w:type="character" w:customStyle="1" w:styleId="CommentSubjectChar">
    <w:name w:val="Comment Subject Char"/>
    <w:basedOn w:val="CommentTextChar"/>
    <w:link w:val="CommentSubject"/>
    <w:uiPriority w:val="99"/>
    <w:semiHidden/>
    <w:rsid w:val="00482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0520">
      <w:bodyDiv w:val="1"/>
      <w:marLeft w:val="0"/>
      <w:marRight w:val="0"/>
      <w:marTop w:val="0"/>
      <w:marBottom w:val="0"/>
      <w:divBdr>
        <w:top w:val="none" w:sz="0" w:space="0" w:color="auto"/>
        <w:left w:val="none" w:sz="0" w:space="0" w:color="auto"/>
        <w:bottom w:val="none" w:sz="0" w:space="0" w:color="auto"/>
        <w:right w:val="none" w:sz="0" w:space="0" w:color="auto"/>
      </w:divBdr>
      <w:divsChild>
        <w:div w:id="765033234">
          <w:marLeft w:val="0"/>
          <w:marRight w:val="0"/>
          <w:marTop w:val="0"/>
          <w:marBottom w:val="0"/>
          <w:divBdr>
            <w:top w:val="none" w:sz="0" w:space="0" w:color="3D3D3D"/>
            <w:left w:val="none" w:sz="0" w:space="0" w:color="3D3D3D"/>
            <w:bottom w:val="none" w:sz="0" w:space="0" w:color="3D3D3D"/>
            <w:right w:val="none" w:sz="0" w:space="0" w:color="3D3D3D"/>
          </w:divBdr>
          <w:divsChild>
            <w:div w:id="1784685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561354">
      <w:bodyDiv w:val="1"/>
      <w:marLeft w:val="0"/>
      <w:marRight w:val="0"/>
      <w:marTop w:val="0"/>
      <w:marBottom w:val="0"/>
      <w:divBdr>
        <w:top w:val="none" w:sz="0" w:space="0" w:color="auto"/>
        <w:left w:val="none" w:sz="0" w:space="0" w:color="auto"/>
        <w:bottom w:val="none" w:sz="0" w:space="0" w:color="auto"/>
        <w:right w:val="none" w:sz="0" w:space="0" w:color="auto"/>
      </w:divBdr>
      <w:divsChild>
        <w:div w:id="310253776">
          <w:marLeft w:val="0"/>
          <w:marRight w:val="0"/>
          <w:marTop w:val="0"/>
          <w:marBottom w:val="0"/>
          <w:divBdr>
            <w:top w:val="none" w:sz="0" w:space="0" w:color="3D3D3D"/>
            <w:left w:val="none" w:sz="0" w:space="0" w:color="3D3D3D"/>
            <w:bottom w:val="none" w:sz="0" w:space="0" w:color="3D3D3D"/>
            <w:right w:val="none" w:sz="0" w:space="0" w:color="3D3D3D"/>
          </w:divBdr>
          <w:divsChild>
            <w:div w:id="3891129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2640818">
      <w:bodyDiv w:val="1"/>
      <w:marLeft w:val="0"/>
      <w:marRight w:val="0"/>
      <w:marTop w:val="0"/>
      <w:marBottom w:val="0"/>
      <w:divBdr>
        <w:top w:val="none" w:sz="0" w:space="0" w:color="auto"/>
        <w:left w:val="none" w:sz="0" w:space="0" w:color="auto"/>
        <w:bottom w:val="none" w:sz="0" w:space="0" w:color="auto"/>
        <w:right w:val="none" w:sz="0" w:space="0" w:color="auto"/>
      </w:divBdr>
      <w:divsChild>
        <w:div w:id="569198724">
          <w:marLeft w:val="0"/>
          <w:marRight w:val="0"/>
          <w:marTop w:val="0"/>
          <w:marBottom w:val="0"/>
          <w:divBdr>
            <w:top w:val="none" w:sz="0" w:space="0" w:color="3D3D3D"/>
            <w:left w:val="none" w:sz="0" w:space="0" w:color="3D3D3D"/>
            <w:bottom w:val="none" w:sz="0" w:space="0" w:color="3D3D3D"/>
            <w:right w:val="none" w:sz="0" w:space="0" w:color="3D3D3D"/>
          </w:divBdr>
          <w:divsChild>
            <w:div w:id="12969135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8932025">
      <w:bodyDiv w:val="1"/>
      <w:marLeft w:val="0"/>
      <w:marRight w:val="0"/>
      <w:marTop w:val="0"/>
      <w:marBottom w:val="0"/>
      <w:divBdr>
        <w:top w:val="none" w:sz="0" w:space="0" w:color="auto"/>
        <w:left w:val="none" w:sz="0" w:space="0" w:color="auto"/>
        <w:bottom w:val="none" w:sz="0" w:space="0" w:color="auto"/>
        <w:right w:val="none" w:sz="0" w:space="0" w:color="auto"/>
      </w:divBdr>
    </w:div>
    <w:div w:id="623803853">
      <w:bodyDiv w:val="1"/>
      <w:marLeft w:val="0"/>
      <w:marRight w:val="0"/>
      <w:marTop w:val="0"/>
      <w:marBottom w:val="0"/>
      <w:divBdr>
        <w:top w:val="none" w:sz="0" w:space="0" w:color="auto"/>
        <w:left w:val="none" w:sz="0" w:space="0" w:color="auto"/>
        <w:bottom w:val="none" w:sz="0" w:space="0" w:color="auto"/>
        <w:right w:val="none" w:sz="0" w:space="0" w:color="auto"/>
      </w:divBdr>
      <w:divsChild>
        <w:div w:id="588075301">
          <w:marLeft w:val="0"/>
          <w:marRight w:val="0"/>
          <w:marTop w:val="0"/>
          <w:marBottom w:val="0"/>
          <w:divBdr>
            <w:top w:val="none" w:sz="0" w:space="0" w:color="auto"/>
            <w:left w:val="none" w:sz="0" w:space="0" w:color="auto"/>
            <w:bottom w:val="single" w:sz="6" w:space="0" w:color="A3A3A3"/>
            <w:right w:val="none" w:sz="0" w:space="0" w:color="auto"/>
          </w:divBdr>
        </w:div>
      </w:divsChild>
    </w:div>
    <w:div w:id="856699289">
      <w:bodyDiv w:val="1"/>
      <w:marLeft w:val="0"/>
      <w:marRight w:val="0"/>
      <w:marTop w:val="0"/>
      <w:marBottom w:val="0"/>
      <w:divBdr>
        <w:top w:val="none" w:sz="0" w:space="0" w:color="auto"/>
        <w:left w:val="none" w:sz="0" w:space="0" w:color="auto"/>
        <w:bottom w:val="none" w:sz="0" w:space="0" w:color="auto"/>
        <w:right w:val="none" w:sz="0" w:space="0" w:color="auto"/>
      </w:divBdr>
      <w:divsChild>
        <w:div w:id="397093001">
          <w:marLeft w:val="0"/>
          <w:marRight w:val="0"/>
          <w:marTop w:val="0"/>
          <w:marBottom w:val="0"/>
          <w:divBdr>
            <w:top w:val="none" w:sz="0" w:space="0" w:color="3D3D3D"/>
            <w:left w:val="none" w:sz="0" w:space="0" w:color="3D3D3D"/>
            <w:bottom w:val="none" w:sz="0" w:space="0" w:color="3D3D3D"/>
            <w:right w:val="none" w:sz="0" w:space="0" w:color="3D3D3D"/>
          </w:divBdr>
          <w:divsChild>
            <w:div w:id="573902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46757979">
      <w:bodyDiv w:val="1"/>
      <w:marLeft w:val="0"/>
      <w:marRight w:val="0"/>
      <w:marTop w:val="0"/>
      <w:marBottom w:val="0"/>
      <w:divBdr>
        <w:top w:val="none" w:sz="0" w:space="0" w:color="auto"/>
        <w:left w:val="none" w:sz="0" w:space="0" w:color="auto"/>
        <w:bottom w:val="none" w:sz="0" w:space="0" w:color="auto"/>
        <w:right w:val="none" w:sz="0" w:space="0" w:color="auto"/>
      </w:divBdr>
      <w:divsChild>
        <w:div w:id="1605065903">
          <w:marLeft w:val="0"/>
          <w:marRight w:val="0"/>
          <w:marTop w:val="0"/>
          <w:marBottom w:val="0"/>
          <w:divBdr>
            <w:top w:val="none" w:sz="0" w:space="0" w:color="3D3D3D"/>
            <w:left w:val="none" w:sz="0" w:space="0" w:color="3D3D3D"/>
            <w:bottom w:val="none" w:sz="0" w:space="0" w:color="3D3D3D"/>
            <w:right w:val="none" w:sz="0" w:space="0" w:color="3D3D3D"/>
          </w:divBdr>
          <w:divsChild>
            <w:div w:id="8117510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6502209">
      <w:bodyDiv w:val="1"/>
      <w:marLeft w:val="0"/>
      <w:marRight w:val="0"/>
      <w:marTop w:val="0"/>
      <w:marBottom w:val="0"/>
      <w:divBdr>
        <w:top w:val="none" w:sz="0" w:space="0" w:color="auto"/>
        <w:left w:val="none" w:sz="0" w:space="0" w:color="auto"/>
        <w:bottom w:val="none" w:sz="0" w:space="0" w:color="auto"/>
        <w:right w:val="none" w:sz="0" w:space="0" w:color="auto"/>
      </w:divBdr>
      <w:divsChild>
        <w:div w:id="1614630202">
          <w:marLeft w:val="0"/>
          <w:marRight w:val="0"/>
          <w:marTop w:val="0"/>
          <w:marBottom w:val="0"/>
          <w:divBdr>
            <w:top w:val="none" w:sz="0" w:space="0" w:color="3D3D3D"/>
            <w:left w:val="none" w:sz="0" w:space="0" w:color="3D3D3D"/>
            <w:bottom w:val="none" w:sz="0" w:space="0" w:color="3D3D3D"/>
            <w:right w:val="none" w:sz="0" w:space="0" w:color="3D3D3D"/>
          </w:divBdr>
          <w:divsChild>
            <w:div w:id="15750497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7067095">
      <w:bodyDiv w:val="1"/>
      <w:marLeft w:val="0"/>
      <w:marRight w:val="0"/>
      <w:marTop w:val="0"/>
      <w:marBottom w:val="0"/>
      <w:divBdr>
        <w:top w:val="none" w:sz="0" w:space="0" w:color="auto"/>
        <w:left w:val="none" w:sz="0" w:space="0" w:color="auto"/>
        <w:bottom w:val="none" w:sz="0" w:space="0" w:color="auto"/>
        <w:right w:val="none" w:sz="0" w:space="0" w:color="auto"/>
      </w:divBdr>
      <w:divsChild>
        <w:div w:id="852649096">
          <w:marLeft w:val="0"/>
          <w:marRight w:val="0"/>
          <w:marTop w:val="0"/>
          <w:marBottom w:val="0"/>
          <w:divBdr>
            <w:top w:val="none" w:sz="0" w:space="0" w:color="3D3D3D"/>
            <w:left w:val="none" w:sz="0" w:space="0" w:color="3D3D3D"/>
            <w:bottom w:val="none" w:sz="0" w:space="0" w:color="3D3D3D"/>
            <w:right w:val="none" w:sz="0" w:space="0" w:color="3D3D3D"/>
          </w:divBdr>
          <w:divsChild>
            <w:div w:id="8944362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3727300">
      <w:bodyDiv w:val="1"/>
      <w:marLeft w:val="0"/>
      <w:marRight w:val="0"/>
      <w:marTop w:val="0"/>
      <w:marBottom w:val="0"/>
      <w:divBdr>
        <w:top w:val="none" w:sz="0" w:space="0" w:color="auto"/>
        <w:left w:val="none" w:sz="0" w:space="0" w:color="auto"/>
        <w:bottom w:val="none" w:sz="0" w:space="0" w:color="auto"/>
        <w:right w:val="none" w:sz="0" w:space="0" w:color="auto"/>
      </w:divBdr>
      <w:divsChild>
        <w:div w:id="872573439">
          <w:marLeft w:val="0"/>
          <w:marRight w:val="0"/>
          <w:marTop w:val="0"/>
          <w:marBottom w:val="0"/>
          <w:divBdr>
            <w:top w:val="none" w:sz="0" w:space="0" w:color="3D3D3D"/>
            <w:left w:val="none" w:sz="0" w:space="0" w:color="3D3D3D"/>
            <w:bottom w:val="none" w:sz="0" w:space="0" w:color="3D3D3D"/>
            <w:right w:val="none" w:sz="0" w:space="0" w:color="3D3D3D"/>
          </w:divBdr>
          <w:divsChild>
            <w:div w:id="7964599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55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ma.cc/GCE2-L9N6" TargetMode="External"/><Relationship Id="rId13" Type="http://schemas.openxmlformats.org/officeDocument/2006/relationships/hyperlink" Target="https://perma.cc/X4C7-2XS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rma.cc/ZJT7-LCF4" TargetMode="External"/><Relationship Id="rId17" Type="http://schemas.openxmlformats.org/officeDocument/2006/relationships/hyperlink" Target="https://perma.cc/Y88K-CGPB" TargetMode="External"/><Relationship Id="rId2" Type="http://schemas.openxmlformats.org/officeDocument/2006/relationships/numbering" Target="numbering.xml"/><Relationship Id="rId16" Type="http://schemas.openxmlformats.org/officeDocument/2006/relationships/hyperlink" Target="https://perma.cc/47UJ-37Q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ma.cc/E4SD-ALJ4" TargetMode="External"/><Relationship Id="rId5" Type="http://schemas.openxmlformats.org/officeDocument/2006/relationships/webSettings" Target="webSettings.xml"/><Relationship Id="rId15" Type="http://schemas.openxmlformats.org/officeDocument/2006/relationships/hyperlink" Target="https://perma.cc/C8TF-4VJW" TargetMode="External"/><Relationship Id="rId10" Type="http://schemas.openxmlformats.org/officeDocument/2006/relationships/hyperlink" Target="https://perma.cc/85XU-ZRU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ma.cc/EBE5-LSA6" TargetMode="External"/><Relationship Id="rId14" Type="http://schemas.openxmlformats.org/officeDocument/2006/relationships/hyperlink" Target="https://perma.cc/S4U3-VS3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20DCF-AB7C-4A50-9EF1-17FEB775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4878</Words>
  <Characters>26367</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Defendant's Motion</vt:lpstr>
    </vt:vector>
  </TitlesOfParts>
  <Company>Microsoft Corporation</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Defendant's Motion</dc:title>
  <dc:creator>Strait</dc:creator>
  <cp:lastModifiedBy>Colleen Fitzharris</cp:lastModifiedBy>
  <cp:revision>3</cp:revision>
  <cp:lastPrinted>2011-12-01T17:22:00Z</cp:lastPrinted>
  <dcterms:created xsi:type="dcterms:W3CDTF">2024-05-01T16:01:00Z</dcterms:created>
  <dcterms:modified xsi:type="dcterms:W3CDTF">2024-05-01T16:01:00Z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TC060869971033</vt:lpwstr>
  </property>
</Properties>
</file>